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EC532" w14:textId="003C0F63" w:rsidR="00A04B62" w:rsidRPr="00715BB0" w:rsidRDefault="00F57DE6">
      <w:pPr>
        <w:rPr>
          <w:rFonts w:asciiTheme="majorHAnsi" w:hAnsiTheme="majorHAnsi"/>
          <w:b/>
        </w:rPr>
      </w:pPr>
      <w:r w:rsidRPr="00715BB0">
        <w:rPr>
          <w:rFonts w:asciiTheme="majorHAnsi" w:hAnsiTheme="majorHAnsi"/>
          <w:b/>
        </w:rPr>
        <w:t>Title</w:t>
      </w:r>
    </w:p>
    <w:p w14:paraId="306DD2C8" w14:textId="77777777" w:rsidR="00F57DE6" w:rsidRPr="00715BB0" w:rsidRDefault="00F57DE6">
      <w:pPr>
        <w:rPr>
          <w:rFonts w:asciiTheme="majorHAnsi" w:hAnsiTheme="majorHAnsi"/>
        </w:rPr>
      </w:pPr>
    </w:p>
    <w:p w14:paraId="1B26FC71" w14:textId="7685BB46" w:rsidR="00F57DE6" w:rsidRPr="00715BB0" w:rsidRDefault="00F57DE6">
      <w:pPr>
        <w:rPr>
          <w:rFonts w:asciiTheme="majorHAnsi" w:hAnsiTheme="majorHAnsi"/>
        </w:rPr>
      </w:pPr>
      <w:proofErr w:type="gramStart"/>
      <w:r w:rsidRPr="00715BB0">
        <w:rPr>
          <w:rFonts w:asciiTheme="majorHAnsi" w:hAnsiTheme="majorHAnsi"/>
        </w:rPr>
        <w:t xml:space="preserve">A survey of three pharmaceutical companies’ resource </w:t>
      </w:r>
      <w:proofErr w:type="spellStart"/>
      <w:r w:rsidRPr="00715BB0">
        <w:rPr>
          <w:rFonts w:asciiTheme="majorHAnsi" w:hAnsiTheme="majorHAnsi"/>
        </w:rPr>
        <w:t>utilisation</w:t>
      </w:r>
      <w:proofErr w:type="spellEnd"/>
      <w:r w:rsidRPr="00715BB0">
        <w:rPr>
          <w:rFonts w:asciiTheme="majorHAnsi" w:hAnsiTheme="majorHAnsi"/>
        </w:rPr>
        <w:t xml:space="preserve"> in copy review activities and proposals for business process improvement.</w:t>
      </w:r>
      <w:proofErr w:type="gramEnd"/>
    </w:p>
    <w:p w14:paraId="70B3E0C1" w14:textId="77777777" w:rsidR="00346839" w:rsidRPr="00715BB0" w:rsidRDefault="00346839">
      <w:pPr>
        <w:rPr>
          <w:rFonts w:asciiTheme="majorHAnsi" w:hAnsiTheme="majorHAnsi"/>
        </w:rPr>
      </w:pPr>
    </w:p>
    <w:p w14:paraId="53C8DC80" w14:textId="77777777" w:rsidR="00346839" w:rsidRPr="00715BB0" w:rsidRDefault="00346839" w:rsidP="00346839">
      <w:pPr>
        <w:rPr>
          <w:rFonts w:asciiTheme="majorHAnsi" w:hAnsiTheme="majorHAnsi"/>
        </w:rPr>
      </w:pPr>
      <w:r w:rsidRPr="00715BB0">
        <w:rPr>
          <w:rFonts w:asciiTheme="majorHAnsi" w:hAnsiTheme="majorHAnsi"/>
        </w:rPr>
        <w:t>Tessa Pugh, director, PharmaReview Ltd, London</w:t>
      </w:r>
    </w:p>
    <w:p w14:paraId="5BC00605" w14:textId="77777777" w:rsidR="00346839" w:rsidRPr="00715BB0" w:rsidRDefault="00346839" w:rsidP="00346839">
      <w:pPr>
        <w:rPr>
          <w:rFonts w:asciiTheme="majorHAnsi" w:hAnsiTheme="majorHAnsi"/>
        </w:rPr>
      </w:pPr>
      <w:r w:rsidRPr="00715BB0">
        <w:rPr>
          <w:rFonts w:asciiTheme="majorHAnsi" w:hAnsiTheme="majorHAnsi"/>
        </w:rPr>
        <w:t xml:space="preserve">Ralph Carter, director, </w:t>
      </w:r>
      <w:proofErr w:type="spellStart"/>
      <w:r w:rsidRPr="00715BB0">
        <w:rPr>
          <w:rFonts w:asciiTheme="majorHAnsi" w:hAnsiTheme="majorHAnsi"/>
        </w:rPr>
        <w:t>Pharmareview</w:t>
      </w:r>
      <w:proofErr w:type="spellEnd"/>
      <w:r w:rsidRPr="00715BB0">
        <w:rPr>
          <w:rFonts w:asciiTheme="majorHAnsi" w:hAnsiTheme="majorHAnsi"/>
        </w:rPr>
        <w:t xml:space="preserve"> Ltd, London</w:t>
      </w:r>
    </w:p>
    <w:p w14:paraId="4BF5543F" w14:textId="77777777" w:rsidR="00DE3DD3" w:rsidRPr="00715BB0" w:rsidRDefault="00DE3DD3">
      <w:pPr>
        <w:rPr>
          <w:rFonts w:asciiTheme="majorHAnsi" w:hAnsiTheme="majorHAnsi"/>
        </w:rPr>
      </w:pPr>
    </w:p>
    <w:p w14:paraId="1DADC523" w14:textId="1C2F255C" w:rsidR="00DE3DD3" w:rsidRPr="00715BB0" w:rsidRDefault="00346839">
      <w:pPr>
        <w:rPr>
          <w:rFonts w:asciiTheme="majorHAnsi" w:hAnsiTheme="majorHAnsi"/>
          <w:b/>
        </w:rPr>
      </w:pPr>
      <w:r w:rsidRPr="00715BB0">
        <w:rPr>
          <w:rFonts w:asciiTheme="majorHAnsi" w:hAnsiTheme="majorHAnsi"/>
          <w:b/>
        </w:rPr>
        <w:t xml:space="preserve">Introduction </w:t>
      </w:r>
    </w:p>
    <w:p w14:paraId="76ADB9DE" w14:textId="77777777" w:rsidR="00715BB0" w:rsidRDefault="00715BB0" w:rsidP="00715BB0">
      <w:pPr>
        <w:rPr>
          <w:rFonts w:asciiTheme="majorHAnsi" w:hAnsiTheme="majorHAnsi"/>
        </w:rPr>
      </w:pPr>
    </w:p>
    <w:p w14:paraId="551C9ECE" w14:textId="4E984045" w:rsidR="00257AC1" w:rsidRDefault="00257AC1" w:rsidP="00715BB0">
      <w:pPr>
        <w:rPr>
          <w:rFonts w:asciiTheme="majorHAnsi" w:hAnsiTheme="majorHAnsi"/>
        </w:rPr>
      </w:pPr>
      <w:r>
        <w:rPr>
          <w:rFonts w:asciiTheme="majorHAnsi" w:hAnsiTheme="majorHAnsi"/>
        </w:rPr>
        <w:t xml:space="preserve">Promotional and non-promotional materials </w:t>
      </w:r>
      <w:r w:rsidR="00FD4F7D">
        <w:rPr>
          <w:rFonts w:asciiTheme="majorHAnsi" w:hAnsiTheme="majorHAnsi"/>
        </w:rPr>
        <w:t xml:space="preserve">are highly visible outputs of </w:t>
      </w:r>
      <w:r>
        <w:rPr>
          <w:rFonts w:asciiTheme="majorHAnsi" w:hAnsiTheme="majorHAnsi"/>
        </w:rPr>
        <w:t>pharmaceutical companies</w:t>
      </w:r>
      <w:r w:rsidR="00FD4F7D">
        <w:rPr>
          <w:rFonts w:asciiTheme="majorHAnsi" w:hAnsiTheme="majorHAnsi"/>
        </w:rPr>
        <w:t xml:space="preserve">.  They are </w:t>
      </w:r>
      <w:proofErr w:type="spellStart"/>
      <w:r w:rsidR="00FD4F7D">
        <w:rPr>
          <w:rFonts w:asciiTheme="majorHAnsi" w:hAnsiTheme="majorHAnsi"/>
        </w:rPr>
        <w:t>scrutinised</w:t>
      </w:r>
      <w:proofErr w:type="spellEnd"/>
      <w:r w:rsidR="00FD4F7D">
        <w:rPr>
          <w:rFonts w:asciiTheme="majorHAnsi" w:hAnsiTheme="majorHAnsi"/>
        </w:rPr>
        <w:t xml:space="preserve"> by competitors, agencies</w:t>
      </w:r>
      <w:r>
        <w:rPr>
          <w:rFonts w:asciiTheme="majorHAnsi" w:hAnsiTheme="majorHAnsi"/>
        </w:rPr>
        <w:t xml:space="preserve"> </w:t>
      </w:r>
      <w:r w:rsidR="00FD4F7D">
        <w:rPr>
          <w:rFonts w:asciiTheme="majorHAnsi" w:hAnsiTheme="majorHAnsi"/>
        </w:rPr>
        <w:t xml:space="preserve">and sometimes customers.  Penalties for errors can be significant, measured in time, </w:t>
      </w:r>
      <w:r w:rsidR="00003684">
        <w:rPr>
          <w:rFonts w:asciiTheme="majorHAnsi" w:hAnsiTheme="majorHAnsi"/>
        </w:rPr>
        <w:t>reputation</w:t>
      </w:r>
      <w:r w:rsidR="00FD4F7D">
        <w:rPr>
          <w:rFonts w:asciiTheme="majorHAnsi" w:hAnsiTheme="majorHAnsi"/>
        </w:rPr>
        <w:t xml:space="preserve"> or monetary fine</w:t>
      </w:r>
      <w:r w:rsidR="00BB4AB9">
        <w:rPr>
          <w:rFonts w:asciiTheme="majorHAnsi" w:hAnsiTheme="majorHAnsi"/>
        </w:rPr>
        <w:t>s</w:t>
      </w:r>
      <w:r w:rsidR="00FD4F7D">
        <w:rPr>
          <w:rFonts w:asciiTheme="majorHAnsi" w:hAnsiTheme="majorHAnsi"/>
        </w:rPr>
        <w:t>.</w:t>
      </w:r>
    </w:p>
    <w:p w14:paraId="6833C621" w14:textId="77777777" w:rsidR="00003684" w:rsidRDefault="00003684" w:rsidP="00715BB0">
      <w:pPr>
        <w:rPr>
          <w:rFonts w:asciiTheme="majorHAnsi" w:hAnsiTheme="majorHAnsi"/>
        </w:rPr>
      </w:pPr>
    </w:p>
    <w:p w14:paraId="2A488C92" w14:textId="5603712E" w:rsidR="00003684" w:rsidRDefault="00003684" w:rsidP="00715BB0">
      <w:pPr>
        <w:rPr>
          <w:rFonts w:asciiTheme="majorHAnsi" w:hAnsiTheme="majorHAnsi"/>
        </w:rPr>
      </w:pPr>
      <w:r>
        <w:rPr>
          <w:rFonts w:asciiTheme="majorHAnsi" w:hAnsiTheme="majorHAnsi"/>
        </w:rPr>
        <w:t>Central to nearly all codes and systems are requirements that statements and messages are:</w:t>
      </w:r>
    </w:p>
    <w:p w14:paraId="7451C826" w14:textId="4FA49B78" w:rsidR="00003684" w:rsidRPr="00003684" w:rsidRDefault="00003684" w:rsidP="00003684">
      <w:pPr>
        <w:pStyle w:val="ListParagraph"/>
        <w:numPr>
          <w:ilvl w:val="0"/>
          <w:numId w:val="5"/>
        </w:numPr>
        <w:rPr>
          <w:rFonts w:asciiTheme="majorHAnsi" w:hAnsiTheme="majorHAnsi"/>
        </w:rPr>
      </w:pPr>
      <w:r w:rsidRPr="00003684">
        <w:rPr>
          <w:rFonts w:asciiTheme="majorHAnsi" w:hAnsiTheme="majorHAnsi"/>
        </w:rPr>
        <w:t xml:space="preserve">Consistent with the marketing </w:t>
      </w:r>
      <w:proofErr w:type="spellStart"/>
      <w:r w:rsidRPr="00003684">
        <w:rPr>
          <w:rFonts w:asciiTheme="majorHAnsi" w:hAnsiTheme="majorHAnsi"/>
        </w:rPr>
        <w:t>authorisation</w:t>
      </w:r>
      <w:proofErr w:type="spellEnd"/>
    </w:p>
    <w:p w14:paraId="78ED33B7" w14:textId="34BB8529" w:rsidR="00003684" w:rsidRPr="00003684" w:rsidRDefault="00003684" w:rsidP="00003684">
      <w:pPr>
        <w:pStyle w:val="ListParagraph"/>
        <w:numPr>
          <w:ilvl w:val="0"/>
          <w:numId w:val="5"/>
        </w:numPr>
        <w:rPr>
          <w:rFonts w:asciiTheme="majorHAnsi" w:hAnsiTheme="majorHAnsi"/>
        </w:rPr>
      </w:pPr>
      <w:r w:rsidRPr="00003684">
        <w:rPr>
          <w:rFonts w:asciiTheme="majorHAnsi" w:hAnsiTheme="majorHAnsi"/>
        </w:rPr>
        <w:t>Accurate and capable of substantiation</w:t>
      </w:r>
    </w:p>
    <w:p w14:paraId="3EE5ED9D" w14:textId="78095236" w:rsidR="00003684" w:rsidRPr="00003684" w:rsidRDefault="00003684" w:rsidP="00003684">
      <w:pPr>
        <w:pStyle w:val="ListParagraph"/>
        <w:numPr>
          <w:ilvl w:val="0"/>
          <w:numId w:val="5"/>
        </w:numPr>
        <w:rPr>
          <w:rFonts w:asciiTheme="majorHAnsi" w:hAnsiTheme="majorHAnsi"/>
        </w:rPr>
      </w:pPr>
      <w:r w:rsidRPr="00003684">
        <w:rPr>
          <w:rFonts w:asciiTheme="majorHAnsi" w:hAnsiTheme="majorHAnsi"/>
        </w:rPr>
        <w:t>Fair, balanced and up to date</w:t>
      </w:r>
    </w:p>
    <w:p w14:paraId="14B59C0F" w14:textId="77777777" w:rsidR="00003684" w:rsidRDefault="00003684" w:rsidP="00715BB0">
      <w:pPr>
        <w:rPr>
          <w:rFonts w:asciiTheme="majorHAnsi" w:hAnsiTheme="majorHAnsi"/>
        </w:rPr>
      </w:pPr>
    </w:p>
    <w:p w14:paraId="5174A900" w14:textId="06346FB5" w:rsidR="00F1066A" w:rsidRDefault="00F1066A" w:rsidP="00715BB0">
      <w:pPr>
        <w:rPr>
          <w:rFonts w:asciiTheme="majorHAnsi" w:hAnsiTheme="majorHAnsi"/>
        </w:rPr>
      </w:pPr>
      <w:r>
        <w:rPr>
          <w:rFonts w:asciiTheme="majorHAnsi" w:hAnsiTheme="majorHAnsi"/>
        </w:rPr>
        <w:t>Regional and national differences exist in the regulation of:</w:t>
      </w:r>
    </w:p>
    <w:p w14:paraId="0384516D" w14:textId="2D22D6D9" w:rsidR="00F1066A" w:rsidRPr="00F1066A" w:rsidRDefault="00F1066A" w:rsidP="00F1066A">
      <w:pPr>
        <w:pStyle w:val="ListParagraph"/>
        <w:numPr>
          <w:ilvl w:val="0"/>
          <w:numId w:val="6"/>
        </w:numPr>
        <w:rPr>
          <w:rFonts w:asciiTheme="majorHAnsi" w:hAnsiTheme="majorHAnsi"/>
        </w:rPr>
      </w:pPr>
      <w:r w:rsidRPr="00F1066A">
        <w:rPr>
          <w:rFonts w:asciiTheme="majorHAnsi" w:hAnsiTheme="majorHAnsi"/>
        </w:rPr>
        <w:t>Meetings</w:t>
      </w:r>
    </w:p>
    <w:p w14:paraId="24AE3392" w14:textId="092B838A" w:rsidR="00F1066A" w:rsidRPr="00F1066A" w:rsidRDefault="00F1066A" w:rsidP="00F1066A">
      <w:pPr>
        <w:pStyle w:val="ListParagraph"/>
        <w:numPr>
          <w:ilvl w:val="0"/>
          <w:numId w:val="6"/>
        </w:numPr>
        <w:rPr>
          <w:rFonts w:asciiTheme="majorHAnsi" w:hAnsiTheme="majorHAnsi"/>
        </w:rPr>
      </w:pPr>
      <w:r w:rsidRPr="00F1066A">
        <w:rPr>
          <w:rFonts w:asciiTheme="majorHAnsi" w:hAnsiTheme="majorHAnsi"/>
        </w:rPr>
        <w:t>Gifts, fees, hospitality and travel</w:t>
      </w:r>
    </w:p>
    <w:p w14:paraId="6561F38D" w14:textId="41EEC845" w:rsidR="00F1066A" w:rsidRPr="00F1066A" w:rsidRDefault="00F1066A" w:rsidP="00F1066A">
      <w:pPr>
        <w:pStyle w:val="ListParagraph"/>
        <w:numPr>
          <w:ilvl w:val="0"/>
          <w:numId w:val="6"/>
        </w:numPr>
        <w:rPr>
          <w:rFonts w:asciiTheme="majorHAnsi" w:hAnsiTheme="majorHAnsi"/>
        </w:rPr>
      </w:pPr>
      <w:r w:rsidRPr="00F1066A">
        <w:rPr>
          <w:rFonts w:asciiTheme="majorHAnsi" w:hAnsiTheme="majorHAnsi"/>
        </w:rPr>
        <w:t>External approval requirements</w:t>
      </w:r>
    </w:p>
    <w:p w14:paraId="79C94312" w14:textId="3FEB0CF0" w:rsidR="00F1066A" w:rsidRPr="00F1066A" w:rsidRDefault="00BB4AB9" w:rsidP="00F1066A">
      <w:pPr>
        <w:pStyle w:val="ListParagraph"/>
        <w:numPr>
          <w:ilvl w:val="0"/>
          <w:numId w:val="6"/>
        </w:numPr>
        <w:rPr>
          <w:rFonts w:asciiTheme="majorHAnsi" w:hAnsiTheme="majorHAnsi"/>
        </w:rPr>
      </w:pPr>
      <w:r>
        <w:rPr>
          <w:rFonts w:asciiTheme="majorHAnsi" w:hAnsiTheme="majorHAnsi"/>
        </w:rPr>
        <w:t>Dispute resolution</w:t>
      </w:r>
    </w:p>
    <w:p w14:paraId="7547410B" w14:textId="77777777" w:rsidR="00F1066A" w:rsidRDefault="00F1066A" w:rsidP="00715BB0">
      <w:pPr>
        <w:rPr>
          <w:rFonts w:asciiTheme="majorHAnsi" w:hAnsiTheme="majorHAnsi"/>
        </w:rPr>
      </w:pPr>
    </w:p>
    <w:p w14:paraId="6B3451A8" w14:textId="6501C52E" w:rsidR="00003684" w:rsidRDefault="00F1066A" w:rsidP="00715BB0">
      <w:pPr>
        <w:rPr>
          <w:rFonts w:asciiTheme="majorHAnsi" w:hAnsiTheme="majorHAnsi"/>
        </w:rPr>
      </w:pPr>
      <w:r>
        <w:rPr>
          <w:rFonts w:asciiTheme="majorHAnsi" w:hAnsiTheme="majorHAnsi"/>
        </w:rPr>
        <w:t xml:space="preserve">The UK industry body, ABPI, issued a code of conduct in 1958.  Its current form </w:t>
      </w:r>
      <w:r w:rsidR="00BB4AB9">
        <w:rPr>
          <w:rFonts w:asciiTheme="majorHAnsi" w:hAnsiTheme="majorHAnsi"/>
        </w:rPr>
        <w:t>is</w:t>
      </w:r>
      <w:r>
        <w:rPr>
          <w:rFonts w:asciiTheme="majorHAnsi" w:hAnsiTheme="majorHAnsi"/>
        </w:rPr>
        <w:t xml:space="preserve"> very similar to the European industry EFPI code.  Many UK pharmaceutical companies place considerable importance on adherence to the code, with large teams working on the review of materials and activities.  </w:t>
      </w:r>
    </w:p>
    <w:p w14:paraId="31F5D0A2" w14:textId="77777777" w:rsidR="00257AC1" w:rsidRDefault="00257AC1" w:rsidP="00715BB0">
      <w:pPr>
        <w:rPr>
          <w:rFonts w:asciiTheme="majorHAnsi" w:hAnsiTheme="majorHAnsi"/>
        </w:rPr>
      </w:pPr>
    </w:p>
    <w:p w14:paraId="1F0A594C" w14:textId="77777777" w:rsidR="00F1066A" w:rsidRDefault="00715BB0">
      <w:pPr>
        <w:rPr>
          <w:rFonts w:asciiTheme="majorHAnsi" w:hAnsiTheme="majorHAnsi" w:cs="Arial"/>
          <w:color w:val="000000"/>
          <w:sz w:val="22"/>
          <w:szCs w:val="22"/>
          <w:lang w:val="en-GB"/>
        </w:rPr>
      </w:pPr>
      <w:r w:rsidRPr="005941C0">
        <w:rPr>
          <w:rFonts w:asciiTheme="majorHAnsi" w:hAnsiTheme="majorHAnsi" w:cs="Arial"/>
          <w:color w:val="000000"/>
          <w:sz w:val="22"/>
          <w:szCs w:val="22"/>
          <w:lang w:val="en-GB"/>
        </w:rPr>
        <w:t xml:space="preserve">Copy review is a </w:t>
      </w:r>
      <w:r w:rsidR="00F1066A">
        <w:rPr>
          <w:rFonts w:asciiTheme="majorHAnsi" w:hAnsiTheme="majorHAnsi" w:cs="Arial"/>
          <w:color w:val="000000"/>
          <w:sz w:val="22"/>
          <w:szCs w:val="22"/>
          <w:lang w:val="en-GB"/>
        </w:rPr>
        <w:t xml:space="preserve">now a </w:t>
      </w:r>
      <w:r w:rsidRPr="005941C0">
        <w:rPr>
          <w:rFonts w:asciiTheme="majorHAnsi" w:hAnsiTheme="majorHAnsi" w:cs="Arial"/>
          <w:color w:val="000000"/>
          <w:sz w:val="22"/>
          <w:szCs w:val="22"/>
          <w:lang w:val="en-GB"/>
        </w:rPr>
        <w:t xml:space="preserve">significant activity that </w:t>
      </w:r>
      <w:r w:rsidR="00F1066A">
        <w:rPr>
          <w:rFonts w:asciiTheme="majorHAnsi" w:hAnsiTheme="majorHAnsi" w:cs="Arial"/>
          <w:color w:val="000000"/>
          <w:sz w:val="22"/>
          <w:szCs w:val="22"/>
          <w:lang w:val="en-GB"/>
        </w:rPr>
        <w:t>consumes</w:t>
      </w:r>
      <w:r w:rsidRPr="005941C0">
        <w:rPr>
          <w:rFonts w:asciiTheme="majorHAnsi" w:hAnsiTheme="majorHAnsi" w:cs="Arial"/>
          <w:color w:val="000000"/>
          <w:sz w:val="22"/>
          <w:szCs w:val="22"/>
          <w:lang w:val="en-GB"/>
        </w:rPr>
        <w:t xml:space="preserve"> </w:t>
      </w:r>
      <w:r w:rsidR="00257AC1">
        <w:rPr>
          <w:rFonts w:asciiTheme="majorHAnsi" w:hAnsiTheme="majorHAnsi" w:cs="Arial"/>
          <w:color w:val="000000"/>
          <w:sz w:val="22"/>
          <w:szCs w:val="22"/>
          <w:lang w:val="en-GB"/>
        </w:rPr>
        <w:t>considerable</w:t>
      </w:r>
      <w:r w:rsidR="007D6B90">
        <w:rPr>
          <w:rFonts w:asciiTheme="majorHAnsi" w:hAnsiTheme="majorHAnsi" w:cs="Arial"/>
          <w:color w:val="000000"/>
          <w:sz w:val="22"/>
          <w:szCs w:val="22"/>
          <w:lang w:val="en-GB"/>
        </w:rPr>
        <w:t xml:space="preserve"> resource</w:t>
      </w:r>
      <w:r w:rsidR="00F1066A">
        <w:rPr>
          <w:rFonts w:asciiTheme="majorHAnsi" w:hAnsiTheme="majorHAnsi" w:cs="Arial"/>
          <w:color w:val="000000"/>
          <w:sz w:val="22"/>
          <w:szCs w:val="22"/>
          <w:lang w:val="en-GB"/>
        </w:rPr>
        <w:t xml:space="preserve">s, in the form of time, </w:t>
      </w:r>
      <w:r w:rsidRPr="005941C0">
        <w:rPr>
          <w:rFonts w:asciiTheme="majorHAnsi" w:hAnsiTheme="majorHAnsi" w:cs="Arial"/>
          <w:color w:val="000000"/>
          <w:sz w:val="22"/>
          <w:szCs w:val="22"/>
          <w:lang w:val="en-GB"/>
        </w:rPr>
        <w:t xml:space="preserve">of some of </w:t>
      </w:r>
      <w:r>
        <w:rPr>
          <w:rFonts w:asciiTheme="majorHAnsi" w:hAnsiTheme="majorHAnsi" w:cs="Arial"/>
          <w:color w:val="000000"/>
          <w:sz w:val="22"/>
          <w:szCs w:val="22"/>
          <w:lang w:val="en-GB"/>
        </w:rPr>
        <w:t xml:space="preserve">the </w:t>
      </w:r>
      <w:r w:rsidRPr="005941C0">
        <w:rPr>
          <w:rFonts w:asciiTheme="majorHAnsi" w:hAnsiTheme="majorHAnsi" w:cs="Arial"/>
          <w:color w:val="000000"/>
          <w:sz w:val="22"/>
          <w:szCs w:val="22"/>
          <w:lang w:val="en-GB"/>
        </w:rPr>
        <w:t xml:space="preserve">most expensive and scientifically able </w:t>
      </w:r>
      <w:r w:rsidR="007D6B90">
        <w:rPr>
          <w:rFonts w:asciiTheme="majorHAnsi" w:hAnsiTheme="majorHAnsi" w:cs="Arial"/>
          <w:color w:val="000000"/>
          <w:sz w:val="22"/>
          <w:szCs w:val="22"/>
          <w:lang w:val="en-GB"/>
        </w:rPr>
        <w:t>members of staff</w:t>
      </w:r>
      <w:r w:rsidRPr="005941C0">
        <w:rPr>
          <w:rFonts w:asciiTheme="majorHAnsi" w:hAnsiTheme="majorHAnsi" w:cs="Arial"/>
          <w:color w:val="000000"/>
          <w:sz w:val="22"/>
          <w:szCs w:val="22"/>
          <w:lang w:val="en-GB"/>
        </w:rPr>
        <w:t>.  </w:t>
      </w:r>
    </w:p>
    <w:p w14:paraId="70C191A5" w14:textId="77777777" w:rsidR="00F1066A" w:rsidRDefault="00F1066A">
      <w:pPr>
        <w:rPr>
          <w:rFonts w:asciiTheme="majorHAnsi" w:hAnsiTheme="majorHAnsi" w:cs="Arial"/>
          <w:color w:val="000000"/>
          <w:sz w:val="22"/>
          <w:szCs w:val="22"/>
          <w:lang w:val="en-GB"/>
        </w:rPr>
      </w:pPr>
    </w:p>
    <w:p w14:paraId="1E35E1E1" w14:textId="6DD72217" w:rsidR="00351D9E" w:rsidRPr="00715BB0" w:rsidRDefault="00F1066A">
      <w:pPr>
        <w:rPr>
          <w:rFonts w:asciiTheme="majorHAnsi" w:hAnsiTheme="majorHAnsi"/>
        </w:rPr>
      </w:pPr>
      <w:r>
        <w:rPr>
          <w:rFonts w:asciiTheme="majorHAnsi" w:hAnsiTheme="majorHAnsi" w:cs="Arial"/>
          <w:color w:val="000000"/>
          <w:sz w:val="22"/>
          <w:szCs w:val="22"/>
          <w:lang w:val="en-GB"/>
        </w:rPr>
        <w:t xml:space="preserve">The aims of this study were to </w:t>
      </w:r>
    </w:p>
    <w:p w14:paraId="14273076" w14:textId="77777777" w:rsidR="00351D9E" w:rsidRPr="00715BB0" w:rsidRDefault="00351D9E">
      <w:pPr>
        <w:rPr>
          <w:rFonts w:asciiTheme="majorHAnsi" w:hAnsiTheme="majorHAnsi"/>
        </w:rPr>
      </w:pPr>
    </w:p>
    <w:p w14:paraId="5C323132" w14:textId="0FF6662E" w:rsidR="00F57DE6" w:rsidRPr="00715BB0" w:rsidRDefault="007D6B90" w:rsidP="00F57DE6">
      <w:pPr>
        <w:pStyle w:val="ListParagraph"/>
        <w:numPr>
          <w:ilvl w:val="0"/>
          <w:numId w:val="3"/>
        </w:numPr>
        <w:rPr>
          <w:rFonts w:asciiTheme="majorHAnsi" w:hAnsiTheme="majorHAnsi"/>
        </w:rPr>
      </w:pPr>
      <w:proofErr w:type="gramStart"/>
      <w:r>
        <w:rPr>
          <w:rFonts w:asciiTheme="majorHAnsi" w:hAnsiTheme="majorHAnsi"/>
        </w:rPr>
        <w:t>quantify</w:t>
      </w:r>
      <w:proofErr w:type="gramEnd"/>
      <w:r w:rsidR="00DE3DD3" w:rsidRPr="00715BB0">
        <w:rPr>
          <w:rFonts w:asciiTheme="majorHAnsi" w:hAnsiTheme="majorHAnsi"/>
        </w:rPr>
        <w:t xml:space="preserve"> time taken up by copy review activ</w:t>
      </w:r>
      <w:r w:rsidR="003C699C" w:rsidRPr="00715BB0">
        <w:rPr>
          <w:rFonts w:asciiTheme="majorHAnsi" w:hAnsiTheme="majorHAnsi"/>
        </w:rPr>
        <w:t xml:space="preserve">ities in </w:t>
      </w:r>
      <w:r w:rsidR="00F1066A">
        <w:rPr>
          <w:rFonts w:asciiTheme="majorHAnsi" w:hAnsiTheme="majorHAnsi"/>
        </w:rPr>
        <w:t>a sample of UK pharmaceutical affiliates</w:t>
      </w:r>
      <w:r w:rsidR="00BB4AB9">
        <w:rPr>
          <w:rFonts w:asciiTheme="majorHAnsi" w:hAnsiTheme="majorHAnsi"/>
        </w:rPr>
        <w:t xml:space="preserve"> medical affairs and commercial functions</w:t>
      </w:r>
    </w:p>
    <w:p w14:paraId="2B7819EF" w14:textId="0C823670" w:rsidR="00F57DE6" w:rsidRPr="00715BB0" w:rsidRDefault="00DE3DD3" w:rsidP="00F57DE6">
      <w:pPr>
        <w:pStyle w:val="ListParagraph"/>
        <w:numPr>
          <w:ilvl w:val="0"/>
          <w:numId w:val="3"/>
        </w:numPr>
        <w:rPr>
          <w:rFonts w:asciiTheme="majorHAnsi" w:hAnsiTheme="majorHAnsi"/>
        </w:rPr>
      </w:pPr>
      <w:proofErr w:type="gramStart"/>
      <w:r w:rsidRPr="00715BB0">
        <w:rPr>
          <w:rFonts w:asciiTheme="majorHAnsi" w:hAnsiTheme="majorHAnsi"/>
        </w:rPr>
        <w:t>identify</w:t>
      </w:r>
      <w:proofErr w:type="gramEnd"/>
      <w:r w:rsidRPr="00715BB0">
        <w:rPr>
          <w:rFonts w:asciiTheme="majorHAnsi" w:hAnsiTheme="majorHAnsi"/>
        </w:rPr>
        <w:t xml:space="preserve"> </w:t>
      </w:r>
      <w:r w:rsidR="00F1066A">
        <w:rPr>
          <w:rFonts w:asciiTheme="majorHAnsi" w:hAnsiTheme="majorHAnsi"/>
        </w:rPr>
        <w:t>the origins and consequences</w:t>
      </w:r>
      <w:r w:rsidRPr="00715BB0">
        <w:rPr>
          <w:rFonts w:asciiTheme="majorHAnsi" w:hAnsiTheme="majorHAnsi"/>
        </w:rPr>
        <w:t xml:space="preserve"> of avoidable</w:t>
      </w:r>
      <w:r w:rsidR="00F57DE6" w:rsidRPr="00715BB0">
        <w:rPr>
          <w:rFonts w:asciiTheme="majorHAnsi" w:hAnsiTheme="majorHAnsi"/>
        </w:rPr>
        <w:t xml:space="preserve"> re-work</w:t>
      </w:r>
    </w:p>
    <w:p w14:paraId="26C83A54" w14:textId="77777777" w:rsidR="00F57DE6" w:rsidRPr="00715BB0" w:rsidRDefault="00DE3DD3" w:rsidP="00F57DE6">
      <w:pPr>
        <w:pStyle w:val="ListParagraph"/>
        <w:numPr>
          <w:ilvl w:val="0"/>
          <w:numId w:val="3"/>
        </w:numPr>
        <w:rPr>
          <w:rFonts w:asciiTheme="majorHAnsi" w:hAnsiTheme="majorHAnsi"/>
        </w:rPr>
      </w:pPr>
      <w:proofErr w:type="gramStart"/>
      <w:r w:rsidRPr="00715BB0">
        <w:rPr>
          <w:rFonts w:asciiTheme="majorHAnsi" w:hAnsiTheme="majorHAnsi"/>
        </w:rPr>
        <w:t>develop</w:t>
      </w:r>
      <w:proofErr w:type="gramEnd"/>
      <w:r w:rsidRPr="00715BB0">
        <w:rPr>
          <w:rFonts w:asciiTheme="majorHAnsi" w:hAnsiTheme="majorHAnsi"/>
        </w:rPr>
        <w:t xml:space="preserve">  solutions</w:t>
      </w:r>
      <w:r w:rsidR="00F711D4" w:rsidRPr="00715BB0">
        <w:rPr>
          <w:rFonts w:asciiTheme="majorHAnsi" w:hAnsiTheme="majorHAnsi"/>
        </w:rPr>
        <w:t xml:space="preserve">.  </w:t>
      </w:r>
    </w:p>
    <w:p w14:paraId="4541F744" w14:textId="77777777" w:rsidR="00F57DE6" w:rsidRPr="00715BB0" w:rsidRDefault="00F57DE6">
      <w:pPr>
        <w:rPr>
          <w:rFonts w:asciiTheme="majorHAnsi" w:hAnsiTheme="majorHAnsi"/>
        </w:rPr>
      </w:pPr>
    </w:p>
    <w:p w14:paraId="307C3CE9" w14:textId="6A727D68" w:rsidR="00DE3DD3" w:rsidRPr="00715BB0" w:rsidRDefault="00F711D4">
      <w:pPr>
        <w:rPr>
          <w:rFonts w:asciiTheme="majorHAnsi" w:hAnsiTheme="majorHAnsi"/>
        </w:rPr>
      </w:pPr>
      <w:r w:rsidRPr="00715BB0">
        <w:rPr>
          <w:rFonts w:asciiTheme="majorHAnsi" w:hAnsiTheme="majorHAnsi"/>
        </w:rPr>
        <w:t>We present here the medical affairs results.</w:t>
      </w:r>
    </w:p>
    <w:p w14:paraId="29397B48" w14:textId="77777777" w:rsidR="00DE3DD3" w:rsidRPr="00715BB0" w:rsidRDefault="00DE3DD3">
      <w:pPr>
        <w:rPr>
          <w:rFonts w:asciiTheme="majorHAnsi" w:hAnsiTheme="majorHAnsi"/>
        </w:rPr>
      </w:pPr>
    </w:p>
    <w:p w14:paraId="1D3B3B52" w14:textId="2A6BC4DA" w:rsidR="00DE3DD3" w:rsidRPr="00715BB0" w:rsidRDefault="00AA5327">
      <w:pPr>
        <w:rPr>
          <w:rFonts w:asciiTheme="majorHAnsi" w:hAnsiTheme="majorHAnsi"/>
          <w:b/>
        </w:rPr>
      </w:pPr>
      <w:r w:rsidRPr="00715BB0">
        <w:rPr>
          <w:rFonts w:asciiTheme="majorHAnsi" w:hAnsiTheme="majorHAnsi"/>
          <w:b/>
        </w:rPr>
        <w:t>Method</w:t>
      </w:r>
    </w:p>
    <w:p w14:paraId="045F7B2E" w14:textId="77777777" w:rsidR="00DE3DD3" w:rsidRPr="00715BB0" w:rsidRDefault="00DE3DD3">
      <w:pPr>
        <w:rPr>
          <w:rFonts w:asciiTheme="majorHAnsi" w:hAnsiTheme="majorHAnsi"/>
        </w:rPr>
      </w:pPr>
    </w:p>
    <w:p w14:paraId="5E0544A3" w14:textId="336EE568" w:rsidR="00DE3DD3" w:rsidRPr="00715BB0" w:rsidRDefault="00DE3DD3">
      <w:pPr>
        <w:rPr>
          <w:rFonts w:asciiTheme="majorHAnsi" w:hAnsiTheme="majorHAnsi"/>
        </w:rPr>
      </w:pPr>
      <w:r w:rsidRPr="00715BB0">
        <w:rPr>
          <w:rFonts w:asciiTheme="majorHAnsi" w:hAnsiTheme="majorHAnsi"/>
        </w:rPr>
        <w:t xml:space="preserve">We developed an online survey with three </w:t>
      </w:r>
      <w:r w:rsidR="00875B81" w:rsidRPr="00715BB0">
        <w:rPr>
          <w:rFonts w:asciiTheme="majorHAnsi" w:hAnsiTheme="majorHAnsi"/>
        </w:rPr>
        <w:t>components</w:t>
      </w:r>
      <w:r w:rsidRPr="00715BB0">
        <w:rPr>
          <w:rFonts w:asciiTheme="majorHAnsi" w:hAnsiTheme="majorHAnsi"/>
        </w:rPr>
        <w:t xml:space="preserve">: </w:t>
      </w:r>
    </w:p>
    <w:p w14:paraId="0B271283" w14:textId="45330599" w:rsidR="00DE3DD3" w:rsidRPr="00715BB0" w:rsidRDefault="00DE3DD3" w:rsidP="0084329A">
      <w:pPr>
        <w:pStyle w:val="ListParagraph"/>
        <w:numPr>
          <w:ilvl w:val="0"/>
          <w:numId w:val="1"/>
        </w:numPr>
        <w:rPr>
          <w:rFonts w:asciiTheme="majorHAnsi" w:hAnsiTheme="majorHAnsi"/>
        </w:rPr>
      </w:pPr>
      <w:r w:rsidRPr="00715BB0">
        <w:rPr>
          <w:rFonts w:asciiTheme="majorHAnsi" w:hAnsiTheme="majorHAnsi"/>
        </w:rPr>
        <w:lastRenderedPageBreak/>
        <w:t>Retrospective, quantitative estimat</w:t>
      </w:r>
      <w:r w:rsidR="00351D9E" w:rsidRPr="00715BB0">
        <w:rPr>
          <w:rFonts w:asciiTheme="majorHAnsi" w:hAnsiTheme="majorHAnsi"/>
        </w:rPr>
        <w:t>es of time taken on copy review</w:t>
      </w:r>
      <w:r w:rsidRPr="00715BB0">
        <w:rPr>
          <w:rFonts w:asciiTheme="majorHAnsi" w:hAnsiTheme="majorHAnsi"/>
        </w:rPr>
        <w:t xml:space="preserve"> and numbers of avoidable iterations</w:t>
      </w:r>
    </w:p>
    <w:p w14:paraId="74FDD147" w14:textId="77777777" w:rsidR="00DE3DD3" w:rsidRPr="00715BB0" w:rsidRDefault="00DE3DD3" w:rsidP="0084329A">
      <w:pPr>
        <w:pStyle w:val="ListParagraph"/>
        <w:numPr>
          <w:ilvl w:val="0"/>
          <w:numId w:val="1"/>
        </w:numPr>
        <w:rPr>
          <w:rFonts w:asciiTheme="majorHAnsi" w:hAnsiTheme="majorHAnsi"/>
        </w:rPr>
      </w:pPr>
      <w:r w:rsidRPr="00715BB0">
        <w:rPr>
          <w:rFonts w:asciiTheme="majorHAnsi" w:hAnsiTheme="majorHAnsi"/>
        </w:rPr>
        <w:t>Ranking the common reasons for avoidable iterations</w:t>
      </w:r>
    </w:p>
    <w:p w14:paraId="485278A5" w14:textId="658E9CC0" w:rsidR="00DE3DD3" w:rsidRDefault="0084329A" w:rsidP="0084329A">
      <w:pPr>
        <w:pStyle w:val="ListParagraph"/>
        <w:numPr>
          <w:ilvl w:val="0"/>
          <w:numId w:val="1"/>
        </w:numPr>
        <w:rPr>
          <w:rFonts w:asciiTheme="majorHAnsi" w:hAnsiTheme="majorHAnsi"/>
        </w:rPr>
      </w:pPr>
      <w:r w:rsidRPr="00715BB0">
        <w:rPr>
          <w:rFonts w:asciiTheme="majorHAnsi" w:hAnsiTheme="majorHAnsi"/>
        </w:rPr>
        <w:t>Free text responses describing potential</w:t>
      </w:r>
      <w:r w:rsidR="00DE3DD3" w:rsidRPr="00715BB0">
        <w:rPr>
          <w:rFonts w:asciiTheme="majorHAnsi" w:hAnsiTheme="majorHAnsi"/>
        </w:rPr>
        <w:t xml:space="preserve"> solutions</w:t>
      </w:r>
    </w:p>
    <w:p w14:paraId="66150444" w14:textId="77777777" w:rsidR="006E1279" w:rsidRPr="006E1279" w:rsidRDefault="006E1279" w:rsidP="006E1279">
      <w:pPr>
        <w:ind w:left="360"/>
        <w:rPr>
          <w:rFonts w:asciiTheme="majorHAnsi" w:hAnsiTheme="majorHAnsi"/>
        </w:rPr>
      </w:pPr>
    </w:p>
    <w:p w14:paraId="120D2810" w14:textId="516A9C64" w:rsidR="007E733F" w:rsidRPr="00715BB0" w:rsidRDefault="00875B81">
      <w:pPr>
        <w:rPr>
          <w:rFonts w:asciiTheme="majorHAnsi" w:hAnsiTheme="majorHAnsi"/>
        </w:rPr>
      </w:pPr>
      <w:r w:rsidRPr="00715BB0">
        <w:rPr>
          <w:rFonts w:asciiTheme="majorHAnsi" w:hAnsiTheme="majorHAnsi"/>
        </w:rPr>
        <w:t>This was sent to 249</w:t>
      </w:r>
      <w:r w:rsidR="00DE3DD3" w:rsidRPr="00715BB0">
        <w:rPr>
          <w:rFonts w:asciiTheme="majorHAnsi" w:hAnsiTheme="majorHAnsi"/>
        </w:rPr>
        <w:t xml:space="preserve"> staff in three UK pharma</w:t>
      </w:r>
      <w:r w:rsidRPr="00715BB0">
        <w:rPr>
          <w:rFonts w:asciiTheme="majorHAnsi" w:hAnsiTheme="majorHAnsi"/>
        </w:rPr>
        <w:t xml:space="preserve">ceutical </w:t>
      </w:r>
      <w:r w:rsidR="00DE3DD3" w:rsidRPr="00715BB0">
        <w:rPr>
          <w:rFonts w:asciiTheme="majorHAnsi" w:hAnsiTheme="majorHAnsi"/>
        </w:rPr>
        <w:t>companies</w:t>
      </w:r>
      <w:r w:rsidR="0084329A" w:rsidRPr="00715BB0">
        <w:rPr>
          <w:rFonts w:asciiTheme="majorHAnsi" w:hAnsiTheme="majorHAnsi"/>
        </w:rPr>
        <w:t xml:space="preserve"> in 2013 and 2014.  </w:t>
      </w:r>
    </w:p>
    <w:p w14:paraId="3D96F95D" w14:textId="77777777" w:rsidR="00DE3DD3" w:rsidRPr="00715BB0" w:rsidRDefault="00DE3DD3">
      <w:pPr>
        <w:rPr>
          <w:rFonts w:asciiTheme="majorHAnsi" w:hAnsiTheme="majorHAnsi"/>
        </w:rPr>
      </w:pPr>
    </w:p>
    <w:p w14:paraId="63E94A76" w14:textId="77777777" w:rsidR="00DE3DD3" w:rsidRPr="00715BB0" w:rsidRDefault="00DE3DD3">
      <w:pPr>
        <w:rPr>
          <w:rFonts w:asciiTheme="majorHAnsi" w:hAnsiTheme="majorHAnsi"/>
        </w:rPr>
      </w:pPr>
    </w:p>
    <w:p w14:paraId="07DA7D5E" w14:textId="566CE287" w:rsidR="00DE3DD3" w:rsidRPr="00715BB0" w:rsidRDefault="00AA5327">
      <w:pPr>
        <w:rPr>
          <w:rFonts w:asciiTheme="majorHAnsi" w:hAnsiTheme="majorHAnsi"/>
          <w:b/>
        </w:rPr>
      </w:pPr>
      <w:r w:rsidRPr="00715BB0">
        <w:rPr>
          <w:rFonts w:asciiTheme="majorHAnsi" w:hAnsiTheme="majorHAnsi"/>
          <w:b/>
        </w:rPr>
        <w:t>Results</w:t>
      </w:r>
    </w:p>
    <w:p w14:paraId="64083339" w14:textId="77777777" w:rsidR="003C699C" w:rsidRPr="00715BB0" w:rsidRDefault="003C699C">
      <w:pPr>
        <w:rPr>
          <w:rFonts w:asciiTheme="majorHAnsi" w:hAnsiTheme="majorHAnsi"/>
        </w:rPr>
      </w:pPr>
    </w:p>
    <w:p w14:paraId="4591C614" w14:textId="6938068F" w:rsidR="00875B81" w:rsidRPr="00715BB0" w:rsidRDefault="00875B81">
      <w:pPr>
        <w:rPr>
          <w:rFonts w:asciiTheme="majorHAnsi" w:hAnsiTheme="majorHAnsi"/>
        </w:rPr>
      </w:pPr>
      <w:r w:rsidRPr="00715BB0">
        <w:rPr>
          <w:rFonts w:asciiTheme="majorHAnsi" w:hAnsiTheme="majorHAnsi"/>
        </w:rPr>
        <w:t>We received 118</w:t>
      </w:r>
      <w:r w:rsidR="007E733F" w:rsidRPr="00715BB0">
        <w:rPr>
          <w:rFonts w:asciiTheme="majorHAnsi" w:hAnsiTheme="majorHAnsi"/>
        </w:rPr>
        <w:t xml:space="preserve"> </w:t>
      </w:r>
      <w:r w:rsidR="003C699C" w:rsidRPr="00715BB0">
        <w:rPr>
          <w:rFonts w:asciiTheme="majorHAnsi" w:hAnsiTheme="majorHAnsi"/>
        </w:rPr>
        <w:t>usable responses</w:t>
      </w:r>
      <w:r w:rsidRPr="00715BB0">
        <w:rPr>
          <w:rFonts w:asciiTheme="majorHAnsi" w:hAnsiTheme="majorHAnsi"/>
        </w:rPr>
        <w:t xml:space="preserve"> from 249 invitation</w:t>
      </w:r>
      <w:r w:rsidR="0084329A" w:rsidRPr="00715BB0">
        <w:rPr>
          <w:rFonts w:asciiTheme="majorHAnsi" w:hAnsiTheme="majorHAnsi"/>
        </w:rPr>
        <w:t xml:space="preserve">s, a response rate of 47%.  </w:t>
      </w:r>
      <w:r w:rsidRPr="00715BB0">
        <w:rPr>
          <w:rFonts w:asciiTheme="majorHAnsi" w:hAnsiTheme="majorHAnsi"/>
        </w:rPr>
        <w:t xml:space="preserve">48 </w:t>
      </w:r>
      <w:r w:rsidR="0084329A" w:rsidRPr="00715BB0">
        <w:rPr>
          <w:rFonts w:asciiTheme="majorHAnsi" w:hAnsiTheme="majorHAnsi"/>
        </w:rPr>
        <w:t xml:space="preserve">responses were </w:t>
      </w:r>
      <w:r w:rsidRPr="00715BB0">
        <w:rPr>
          <w:rFonts w:asciiTheme="majorHAnsi" w:hAnsiTheme="majorHAnsi"/>
        </w:rPr>
        <w:t>from</w:t>
      </w:r>
      <w:r w:rsidR="00F711D4" w:rsidRPr="00715BB0">
        <w:rPr>
          <w:rFonts w:asciiTheme="majorHAnsi" w:hAnsiTheme="majorHAnsi"/>
        </w:rPr>
        <w:t xml:space="preserve"> medical affairs </w:t>
      </w:r>
      <w:r w:rsidRPr="00715BB0">
        <w:rPr>
          <w:rFonts w:asciiTheme="majorHAnsi" w:hAnsiTheme="majorHAnsi"/>
        </w:rPr>
        <w:t>and 70 from commercial and other functions</w:t>
      </w:r>
      <w:r w:rsidR="00BB4AB9">
        <w:rPr>
          <w:rFonts w:asciiTheme="majorHAnsi" w:hAnsiTheme="majorHAnsi"/>
        </w:rPr>
        <w:t>.</w:t>
      </w:r>
    </w:p>
    <w:p w14:paraId="44FF90CC" w14:textId="77777777" w:rsidR="00875B81" w:rsidRPr="00715BB0" w:rsidRDefault="00875B81">
      <w:pPr>
        <w:rPr>
          <w:rFonts w:asciiTheme="majorHAnsi" w:hAnsiTheme="majorHAnsi"/>
        </w:rPr>
      </w:pPr>
    </w:p>
    <w:p w14:paraId="1B62B00A" w14:textId="3722327D" w:rsidR="00875B81" w:rsidRPr="00715BB0" w:rsidRDefault="00875B81">
      <w:pPr>
        <w:rPr>
          <w:rFonts w:asciiTheme="majorHAnsi" w:hAnsiTheme="majorHAnsi"/>
        </w:rPr>
      </w:pPr>
      <w:r w:rsidRPr="00715BB0">
        <w:rPr>
          <w:rFonts w:asciiTheme="majorHAnsi" w:hAnsiTheme="majorHAnsi"/>
        </w:rPr>
        <w:t>The proportion of the w</w:t>
      </w:r>
      <w:r w:rsidR="0084329A" w:rsidRPr="00715BB0">
        <w:rPr>
          <w:rFonts w:asciiTheme="majorHAnsi" w:hAnsiTheme="majorHAnsi"/>
        </w:rPr>
        <w:t>o</w:t>
      </w:r>
      <w:r w:rsidRPr="00715BB0">
        <w:rPr>
          <w:rFonts w:asciiTheme="majorHAnsi" w:hAnsiTheme="majorHAnsi"/>
        </w:rPr>
        <w:t>rki</w:t>
      </w:r>
      <w:r w:rsidR="0084329A" w:rsidRPr="00715BB0">
        <w:rPr>
          <w:rFonts w:asciiTheme="majorHAnsi" w:hAnsiTheme="majorHAnsi"/>
        </w:rPr>
        <w:t>ng week spent on copy review by</w:t>
      </w:r>
      <w:r w:rsidRPr="00715BB0">
        <w:rPr>
          <w:rFonts w:asciiTheme="majorHAnsi" w:hAnsiTheme="majorHAnsi"/>
        </w:rPr>
        <w:t xml:space="preserve"> physicians was a consistent 40%.  For medical information, the proportion varied between zero and 65%.  Scientific advisors spent 0% to 42%</w:t>
      </w:r>
      <w:r w:rsidR="0084329A" w:rsidRPr="00715BB0">
        <w:rPr>
          <w:rFonts w:asciiTheme="majorHAnsi" w:hAnsiTheme="majorHAnsi"/>
        </w:rPr>
        <w:t xml:space="preserve"> of their time on copy activities</w:t>
      </w:r>
      <w:r w:rsidRPr="00715BB0">
        <w:rPr>
          <w:rFonts w:asciiTheme="majorHAnsi" w:hAnsiTheme="majorHAnsi"/>
        </w:rPr>
        <w:t>.</w:t>
      </w:r>
    </w:p>
    <w:p w14:paraId="02A6A10F" w14:textId="0EA6E19D" w:rsidR="005701C5" w:rsidRDefault="00F340C1">
      <w:pPr>
        <w:rPr>
          <w:rFonts w:asciiTheme="majorHAnsi" w:hAnsiTheme="majorHAnsi"/>
        </w:rPr>
      </w:pPr>
      <w:r>
        <w:rPr>
          <w:noProof/>
        </w:rPr>
        <w:drawing>
          <wp:inline distT="0" distB="0" distL="0" distR="0" wp14:anchorId="3329F1BE" wp14:editId="6B2BD838">
            <wp:extent cx="2743200" cy="1663700"/>
            <wp:effectExtent l="0" t="0" r="2540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C12C027" w14:textId="7061DCE4" w:rsidR="00F340C1" w:rsidRDefault="00F340C1">
      <w:pPr>
        <w:rPr>
          <w:rFonts w:asciiTheme="majorHAnsi" w:hAnsiTheme="majorHAnsi"/>
        </w:rPr>
      </w:pPr>
      <w:r>
        <w:rPr>
          <w:noProof/>
        </w:rPr>
        <w:drawing>
          <wp:inline distT="0" distB="0" distL="0" distR="0" wp14:anchorId="7563FB3B" wp14:editId="17A9EF90">
            <wp:extent cx="2717800" cy="1587500"/>
            <wp:effectExtent l="0" t="0" r="25400"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D5814CB" w14:textId="34754031" w:rsidR="00F340C1" w:rsidRPr="00715BB0" w:rsidRDefault="00F340C1">
      <w:pPr>
        <w:rPr>
          <w:rFonts w:asciiTheme="majorHAnsi" w:hAnsiTheme="majorHAnsi"/>
        </w:rPr>
      </w:pPr>
      <w:r>
        <w:rPr>
          <w:noProof/>
        </w:rPr>
        <w:drawing>
          <wp:inline distT="0" distB="0" distL="0" distR="0" wp14:anchorId="112C667B" wp14:editId="6F642584">
            <wp:extent cx="2743200" cy="1358900"/>
            <wp:effectExtent l="0" t="0" r="25400"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D7D71F3" w14:textId="1F147F3C" w:rsidR="005701C5" w:rsidRDefault="005701C5">
      <w:pPr>
        <w:rPr>
          <w:rFonts w:asciiTheme="majorHAnsi" w:hAnsiTheme="majorHAnsi"/>
        </w:rPr>
      </w:pPr>
      <w:r w:rsidRPr="00715BB0">
        <w:rPr>
          <w:rFonts w:asciiTheme="majorHAnsi" w:hAnsiTheme="majorHAnsi"/>
        </w:rPr>
        <w:t xml:space="preserve">On average just over 50% of time spent on copy </w:t>
      </w:r>
      <w:r w:rsidR="0084329A" w:rsidRPr="00715BB0">
        <w:rPr>
          <w:rFonts w:asciiTheme="majorHAnsi" w:hAnsiTheme="majorHAnsi"/>
        </w:rPr>
        <w:t>activities</w:t>
      </w:r>
      <w:r w:rsidRPr="00715BB0">
        <w:rPr>
          <w:rFonts w:asciiTheme="majorHAnsi" w:hAnsiTheme="majorHAnsi"/>
        </w:rPr>
        <w:t xml:space="preserve"> went on checking scientific statements and claims.  The remainder was spent on concept and planning meetings, commissioning, proof reading, compiling materials. Rounds of </w:t>
      </w:r>
      <w:r w:rsidR="0084329A" w:rsidRPr="00715BB0">
        <w:rPr>
          <w:rFonts w:asciiTheme="majorHAnsi" w:hAnsiTheme="majorHAnsi"/>
        </w:rPr>
        <w:t>scheduled</w:t>
      </w:r>
      <w:r w:rsidRPr="00715BB0">
        <w:rPr>
          <w:rFonts w:asciiTheme="majorHAnsi" w:hAnsiTheme="majorHAnsi"/>
        </w:rPr>
        <w:t xml:space="preserve"> review averaged 2.3. </w:t>
      </w:r>
    </w:p>
    <w:p w14:paraId="41E536D1" w14:textId="35D3DF02" w:rsidR="00F340C1" w:rsidRDefault="00F340C1">
      <w:pPr>
        <w:rPr>
          <w:rFonts w:asciiTheme="majorHAnsi" w:hAnsiTheme="majorHAnsi"/>
        </w:rPr>
      </w:pPr>
    </w:p>
    <w:p w14:paraId="1174D229" w14:textId="774E857D" w:rsidR="00F340C1" w:rsidRPr="00715BB0" w:rsidRDefault="00F340C1">
      <w:pPr>
        <w:rPr>
          <w:rFonts w:asciiTheme="majorHAnsi" w:hAnsiTheme="majorHAnsi"/>
        </w:rPr>
      </w:pPr>
      <w:r>
        <w:rPr>
          <w:noProof/>
        </w:rPr>
        <w:lastRenderedPageBreak/>
        <w:drawing>
          <wp:inline distT="0" distB="0" distL="0" distR="0" wp14:anchorId="1A640486" wp14:editId="0A0E42C1">
            <wp:extent cx="4572000" cy="27432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0AEE006" w14:textId="77777777" w:rsidR="005701C5" w:rsidRPr="00715BB0" w:rsidRDefault="005701C5">
      <w:pPr>
        <w:rPr>
          <w:rFonts w:asciiTheme="majorHAnsi" w:hAnsiTheme="majorHAnsi"/>
        </w:rPr>
      </w:pPr>
    </w:p>
    <w:p w14:paraId="3EA73A3A" w14:textId="77777777" w:rsidR="00F340C1" w:rsidRDefault="0084329A">
      <w:pPr>
        <w:rPr>
          <w:rFonts w:asciiTheme="majorHAnsi" w:hAnsiTheme="majorHAnsi"/>
        </w:rPr>
      </w:pPr>
      <w:r w:rsidRPr="00715BB0">
        <w:rPr>
          <w:rFonts w:asciiTheme="majorHAnsi" w:hAnsiTheme="majorHAnsi"/>
        </w:rPr>
        <w:t>Estimates of t</w:t>
      </w:r>
      <w:r w:rsidR="005701C5" w:rsidRPr="00715BB0">
        <w:rPr>
          <w:rFonts w:asciiTheme="majorHAnsi" w:hAnsiTheme="majorHAnsi"/>
        </w:rPr>
        <w:t xml:space="preserve">he proportion of jobs </w:t>
      </w:r>
      <w:r w:rsidRPr="00715BB0">
        <w:rPr>
          <w:rFonts w:asciiTheme="majorHAnsi" w:hAnsiTheme="majorHAnsi"/>
        </w:rPr>
        <w:t>requiring</w:t>
      </w:r>
      <w:r w:rsidR="005701C5" w:rsidRPr="00715BB0">
        <w:rPr>
          <w:rFonts w:asciiTheme="majorHAnsi" w:hAnsiTheme="majorHAnsi"/>
        </w:rPr>
        <w:t xml:space="preserve"> avoidable round</w:t>
      </w:r>
      <w:r w:rsidRPr="00715BB0">
        <w:rPr>
          <w:rFonts w:asciiTheme="majorHAnsi" w:hAnsiTheme="majorHAnsi"/>
        </w:rPr>
        <w:t>s</w:t>
      </w:r>
      <w:r w:rsidR="005701C5" w:rsidRPr="00715BB0">
        <w:rPr>
          <w:rFonts w:asciiTheme="majorHAnsi" w:hAnsiTheme="majorHAnsi"/>
        </w:rPr>
        <w:t xml:space="preserve"> of review ranged between 30 and 50%</w:t>
      </w:r>
      <w:r w:rsidR="00F340C1">
        <w:rPr>
          <w:rFonts w:asciiTheme="majorHAnsi" w:hAnsiTheme="majorHAnsi"/>
        </w:rPr>
        <w:t>.</w:t>
      </w:r>
    </w:p>
    <w:p w14:paraId="0F0E05CE" w14:textId="77777777" w:rsidR="00F340C1" w:rsidRDefault="00F340C1">
      <w:pPr>
        <w:rPr>
          <w:rFonts w:asciiTheme="majorHAnsi" w:hAnsiTheme="majorHAnsi"/>
        </w:rPr>
      </w:pPr>
    </w:p>
    <w:p w14:paraId="4E37F120" w14:textId="2896E7FD" w:rsidR="00F340C1" w:rsidRDefault="00F340C1">
      <w:pPr>
        <w:rPr>
          <w:rFonts w:asciiTheme="majorHAnsi" w:hAnsiTheme="majorHAnsi"/>
        </w:rPr>
      </w:pPr>
      <w:r>
        <w:rPr>
          <w:noProof/>
        </w:rPr>
        <w:drawing>
          <wp:inline distT="0" distB="0" distL="0" distR="0" wp14:anchorId="404E9C51" wp14:editId="7CA164E1">
            <wp:extent cx="2628900" cy="1625600"/>
            <wp:effectExtent l="0" t="0" r="127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0175BF" w14:textId="77777777" w:rsidR="00F340C1" w:rsidRDefault="00F340C1">
      <w:pPr>
        <w:rPr>
          <w:rFonts w:asciiTheme="majorHAnsi" w:hAnsiTheme="majorHAnsi"/>
        </w:rPr>
      </w:pPr>
    </w:p>
    <w:p w14:paraId="5DC0291C" w14:textId="77777777" w:rsidR="00F340C1" w:rsidRDefault="00F340C1">
      <w:pPr>
        <w:rPr>
          <w:rFonts w:asciiTheme="majorHAnsi" w:hAnsiTheme="majorHAnsi"/>
        </w:rPr>
      </w:pPr>
      <w:r>
        <w:rPr>
          <w:rFonts w:asciiTheme="majorHAnsi" w:hAnsiTheme="majorHAnsi"/>
        </w:rPr>
        <w:t>This results</w:t>
      </w:r>
      <w:r w:rsidR="005701C5" w:rsidRPr="00715BB0">
        <w:rPr>
          <w:rFonts w:asciiTheme="majorHAnsi" w:hAnsiTheme="majorHAnsi"/>
        </w:rPr>
        <w:t xml:space="preserve"> in between six and eight additional hours work per week </w:t>
      </w:r>
    </w:p>
    <w:p w14:paraId="0BD7F2FC" w14:textId="77777777" w:rsidR="00F340C1" w:rsidRDefault="00F340C1">
      <w:pPr>
        <w:rPr>
          <w:rFonts w:asciiTheme="majorHAnsi" w:hAnsiTheme="majorHAnsi"/>
        </w:rPr>
      </w:pPr>
    </w:p>
    <w:p w14:paraId="08F247FE" w14:textId="77777777" w:rsidR="00F340C1" w:rsidRDefault="00F340C1">
      <w:pPr>
        <w:rPr>
          <w:rFonts w:asciiTheme="majorHAnsi" w:hAnsiTheme="majorHAnsi"/>
        </w:rPr>
      </w:pPr>
      <w:r>
        <w:rPr>
          <w:noProof/>
        </w:rPr>
        <w:drawing>
          <wp:inline distT="0" distB="0" distL="0" distR="0" wp14:anchorId="3E7DBA6C" wp14:editId="0532CD15">
            <wp:extent cx="2628900" cy="1587500"/>
            <wp:effectExtent l="0" t="0" r="12700" b="127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6A83A2" w14:textId="77777777" w:rsidR="00F340C1" w:rsidRDefault="00F340C1">
      <w:pPr>
        <w:rPr>
          <w:rFonts w:asciiTheme="majorHAnsi" w:hAnsiTheme="majorHAnsi"/>
        </w:rPr>
      </w:pPr>
      <w:r>
        <w:rPr>
          <w:noProof/>
        </w:rPr>
        <w:lastRenderedPageBreak/>
        <w:drawing>
          <wp:inline distT="0" distB="0" distL="0" distR="0" wp14:anchorId="6D5F950C" wp14:editId="4740A0ED">
            <wp:extent cx="2857500" cy="1828800"/>
            <wp:effectExtent l="0" t="0" r="127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6917134" w14:textId="3248A808" w:rsidR="00F340C1" w:rsidRDefault="00F340C1">
      <w:pPr>
        <w:rPr>
          <w:rFonts w:asciiTheme="majorHAnsi" w:hAnsiTheme="majorHAnsi"/>
        </w:rPr>
      </w:pPr>
      <w:r>
        <w:rPr>
          <w:noProof/>
        </w:rPr>
        <w:drawing>
          <wp:inline distT="0" distB="0" distL="0" distR="0" wp14:anchorId="396AF204" wp14:editId="22B09FAE">
            <wp:extent cx="2971800" cy="1917700"/>
            <wp:effectExtent l="0" t="0" r="25400" b="127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6D282EF" w14:textId="77777777" w:rsidR="00F340C1" w:rsidRDefault="00F340C1">
      <w:pPr>
        <w:rPr>
          <w:rFonts w:asciiTheme="majorHAnsi" w:hAnsiTheme="majorHAnsi"/>
        </w:rPr>
      </w:pPr>
    </w:p>
    <w:p w14:paraId="0FD526EA" w14:textId="778A0F5F" w:rsidR="005701C5" w:rsidRDefault="005701C5">
      <w:pPr>
        <w:rPr>
          <w:rFonts w:asciiTheme="majorHAnsi" w:hAnsiTheme="majorHAnsi"/>
        </w:rPr>
      </w:pPr>
      <w:proofErr w:type="gramStart"/>
      <w:r w:rsidRPr="00715BB0">
        <w:rPr>
          <w:rFonts w:asciiTheme="majorHAnsi" w:hAnsiTheme="majorHAnsi"/>
        </w:rPr>
        <w:t>and</w:t>
      </w:r>
      <w:proofErr w:type="gramEnd"/>
      <w:r w:rsidRPr="00715BB0">
        <w:rPr>
          <w:rFonts w:asciiTheme="majorHAnsi" w:hAnsiTheme="majorHAnsi"/>
        </w:rPr>
        <w:t xml:space="preserve"> raised levels of friction, reported </w:t>
      </w:r>
      <w:r w:rsidR="00BB4AB9">
        <w:rPr>
          <w:rFonts w:asciiTheme="majorHAnsi" w:hAnsiTheme="majorHAnsi"/>
        </w:rPr>
        <w:t xml:space="preserve"> as ‘frequent’ or ‘common’ </w:t>
      </w:r>
      <w:r w:rsidRPr="00715BB0">
        <w:rPr>
          <w:rFonts w:asciiTheme="majorHAnsi" w:hAnsiTheme="majorHAnsi"/>
        </w:rPr>
        <w:t>by 80% in one organization and to a significant level in all three.</w:t>
      </w:r>
    </w:p>
    <w:p w14:paraId="001D3DA3" w14:textId="77777777" w:rsidR="00F340C1" w:rsidRDefault="00F340C1">
      <w:pPr>
        <w:rPr>
          <w:rFonts w:asciiTheme="majorHAnsi" w:hAnsiTheme="majorHAnsi"/>
        </w:rPr>
      </w:pPr>
    </w:p>
    <w:p w14:paraId="6CEAA927" w14:textId="77777777" w:rsidR="00F340C1" w:rsidRDefault="00F340C1">
      <w:pPr>
        <w:rPr>
          <w:rFonts w:asciiTheme="majorHAnsi" w:hAnsiTheme="majorHAnsi"/>
        </w:rPr>
      </w:pPr>
      <w:r>
        <w:rPr>
          <w:noProof/>
        </w:rPr>
        <w:drawing>
          <wp:inline distT="0" distB="0" distL="0" distR="0" wp14:anchorId="3ECEE59D" wp14:editId="41905832">
            <wp:extent cx="2514600" cy="1638300"/>
            <wp:effectExtent l="0" t="0" r="25400" b="1270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CD235AE" w14:textId="067CB556" w:rsidR="00F340C1" w:rsidRDefault="00F340C1">
      <w:pPr>
        <w:rPr>
          <w:noProof/>
        </w:rPr>
      </w:pPr>
    </w:p>
    <w:p w14:paraId="79456799" w14:textId="74FE01CB" w:rsidR="00BB4AB9" w:rsidRDefault="00BB4AB9">
      <w:pPr>
        <w:rPr>
          <w:rFonts w:asciiTheme="majorHAnsi" w:hAnsiTheme="majorHAnsi"/>
        </w:rPr>
      </w:pPr>
      <w:r>
        <w:rPr>
          <w:noProof/>
        </w:rPr>
        <w:t>Missed deadlines were estimated for around one third of projects.</w:t>
      </w:r>
    </w:p>
    <w:p w14:paraId="225144AD" w14:textId="77777777" w:rsidR="00F340C1" w:rsidRDefault="00F340C1">
      <w:pPr>
        <w:rPr>
          <w:rFonts w:asciiTheme="majorHAnsi" w:hAnsiTheme="majorHAnsi"/>
        </w:rPr>
      </w:pPr>
    </w:p>
    <w:p w14:paraId="22C471D9" w14:textId="4104873B" w:rsidR="00F340C1" w:rsidRDefault="00F340C1">
      <w:pPr>
        <w:rPr>
          <w:rFonts w:asciiTheme="majorHAnsi" w:hAnsiTheme="majorHAnsi"/>
        </w:rPr>
      </w:pPr>
      <w:r>
        <w:rPr>
          <w:noProof/>
        </w:rPr>
        <w:drawing>
          <wp:inline distT="0" distB="0" distL="0" distR="0" wp14:anchorId="65C4B1DB" wp14:editId="67B544E5">
            <wp:extent cx="2857500" cy="1828800"/>
            <wp:effectExtent l="0" t="0" r="12700" b="2540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55052DE" w14:textId="77777777" w:rsidR="00F340C1" w:rsidRPr="00715BB0" w:rsidRDefault="00F340C1">
      <w:pPr>
        <w:rPr>
          <w:rFonts w:asciiTheme="majorHAnsi" w:hAnsiTheme="majorHAnsi"/>
        </w:rPr>
      </w:pPr>
    </w:p>
    <w:p w14:paraId="39020225" w14:textId="77777777" w:rsidR="005701C5" w:rsidRPr="00715BB0" w:rsidRDefault="005701C5">
      <w:pPr>
        <w:rPr>
          <w:rFonts w:asciiTheme="majorHAnsi" w:hAnsiTheme="majorHAnsi"/>
        </w:rPr>
      </w:pPr>
    </w:p>
    <w:p w14:paraId="6AC318C7" w14:textId="77777777" w:rsidR="0084329A" w:rsidRPr="00715BB0" w:rsidRDefault="005701C5">
      <w:pPr>
        <w:rPr>
          <w:rFonts w:asciiTheme="majorHAnsi" w:hAnsiTheme="majorHAnsi"/>
        </w:rPr>
      </w:pPr>
      <w:r w:rsidRPr="00715BB0">
        <w:rPr>
          <w:rFonts w:asciiTheme="majorHAnsi" w:hAnsiTheme="majorHAnsi"/>
        </w:rPr>
        <w:t>The three top-ranked reasons for re-work</w:t>
      </w:r>
      <w:r w:rsidR="00DA7256" w:rsidRPr="00715BB0">
        <w:rPr>
          <w:rFonts w:asciiTheme="majorHAnsi" w:hAnsiTheme="majorHAnsi"/>
        </w:rPr>
        <w:t xml:space="preserve"> were</w:t>
      </w:r>
      <w:r w:rsidR="0084329A" w:rsidRPr="00715BB0">
        <w:rPr>
          <w:rFonts w:asciiTheme="majorHAnsi" w:hAnsiTheme="majorHAnsi"/>
        </w:rPr>
        <w:t>:</w:t>
      </w:r>
    </w:p>
    <w:p w14:paraId="296E78E4" w14:textId="77777777" w:rsidR="0084329A" w:rsidRPr="00715BB0" w:rsidRDefault="00DA7256" w:rsidP="0084329A">
      <w:pPr>
        <w:pStyle w:val="ListParagraph"/>
        <w:numPr>
          <w:ilvl w:val="0"/>
          <w:numId w:val="2"/>
        </w:numPr>
        <w:rPr>
          <w:rFonts w:asciiTheme="majorHAnsi" w:hAnsiTheme="majorHAnsi"/>
        </w:rPr>
      </w:pPr>
      <w:proofErr w:type="gramStart"/>
      <w:r w:rsidRPr="00715BB0">
        <w:rPr>
          <w:rFonts w:asciiTheme="majorHAnsi" w:hAnsiTheme="majorHAnsi"/>
        </w:rPr>
        <w:t>claims</w:t>
      </w:r>
      <w:proofErr w:type="gramEnd"/>
      <w:r w:rsidRPr="00715BB0">
        <w:rPr>
          <w:rFonts w:asciiTheme="majorHAnsi" w:hAnsiTheme="majorHAnsi"/>
        </w:rPr>
        <w:t xml:space="preserve"> not supported</w:t>
      </w:r>
    </w:p>
    <w:p w14:paraId="10362B31" w14:textId="77777777" w:rsidR="0084329A" w:rsidRPr="00715BB0" w:rsidRDefault="00DA7256" w:rsidP="0084329A">
      <w:pPr>
        <w:pStyle w:val="ListParagraph"/>
        <w:numPr>
          <w:ilvl w:val="0"/>
          <w:numId w:val="2"/>
        </w:numPr>
        <w:rPr>
          <w:rFonts w:asciiTheme="majorHAnsi" w:hAnsiTheme="majorHAnsi"/>
        </w:rPr>
      </w:pPr>
      <w:proofErr w:type="gramStart"/>
      <w:r w:rsidRPr="00715BB0">
        <w:rPr>
          <w:rFonts w:asciiTheme="majorHAnsi" w:hAnsiTheme="majorHAnsi"/>
        </w:rPr>
        <w:t>references</w:t>
      </w:r>
      <w:proofErr w:type="gramEnd"/>
      <w:r w:rsidRPr="00715BB0">
        <w:rPr>
          <w:rFonts w:asciiTheme="majorHAnsi" w:hAnsiTheme="majorHAnsi"/>
        </w:rPr>
        <w:t xml:space="preserve"> missing or not marked up</w:t>
      </w:r>
    </w:p>
    <w:p w14:paraId="154EE12D" w14:textId="0B3338FA" w:rsidR="0084329A" w:rsidRDefault="00BB4AB9" w:rsidP="0084329A">
      <w:pPr>
        <w:pStyle w:val="ListParagraph"/>
        <w:numPr>
          <w:ilvl w:val="0"/>
          <w:numId w:val="2"/>
        </w:numPr>
        <w:rPr>
          <w:rFonts w:asciiTheme="majorHAnsi" w:hAnsiTheme="majorHAnsi"/>
        </w:rPr>
      </w:pPr>
      <w:proofErr w:type="gramStart"/>
      <w:r>
        <w:rPr>
          <w:rFonts w:asciiTheme="majorHAnsi" w:hAnsiTheme="majorHAnsi"/>
        </w:rPr>
        <w:t>differences</w:t>
      </w:r>
      <w:proofErr w:type="gramEnd"/>
      <w:r>
        <w:rPr>
          <w:rFonts w:asciiTheme="majorHAnsi" w:hAnsiTheme="majorHAnsi"/>
        </w:rPr>
        <w:t xml:space="preserve"> of opinion</w:t>
      </w:r>
    </w:p>
    <w:p w14:paraId="7D65C26F" w14:textId="77777777" w:rsidR="00F340C1" w:rsidRDefault="00F340C1" w:rsidP="00BB4AB9">
      <w:pPr>
        <w:pStyle w:val="ListParagraph"/>
        <w:rPr>
          <w:rFonts w:asciiTheme="majorHAnsi" w:hAnsiTheme="majorHAnsi"/>
        </w:rPr>
      </w:pPr>
    </w:p>
    <w:tbl>
      <w:tblPr>
        <w:tblW w:w="9840" w:type="dxa"/>
        <w:tblInd w:w="93" w:type="dxa"/>
        <w:tblLook w:val="04A0" w:firstRow="1" w:lastRow="0" w:firstColumn="1" w:lastColumn="0" w:noHBand="0" w:noVBand="1"/>
      </w:tblPr>
      <w:tblGrid>
        <w:gridCol w:w="2460"/>
        <w:gridCol w:w="2460"/>
        <w:gridCol w:w="2460"/>
        <w:gridCol w:w="2460"/>
      </w:tblGrid>
      <w:tr w:rsidR="00F340C1" w:rsidRPr="00F340C1" w14:paraId="6230470B" w14:textId="77777777" w:rsidTr="00F340C1">
        <w:trPr>
          <w:trHeight w:val="300"/>
        </w:trPr>
        <w:tc>
          <w:tcPr>
            <w:tcW w:w="2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F44ECF" w14:textId="77777777" w:rsidR="00F340C1" w:rsidRPr="00F340C1" w:rsidRDefault="00F340C1" w:rsidP="00F340C1">
            <w:pPr>
              <w:rPr>
                <w:rFonts w:ascii="Calibri" w:eastAsia="Times New Roman" w:hAnsi="Calibri" w:cs="Times New Roman"/>
                <w:lang w:val="en-GB"/>
              </w:rPr>
            </w:pPr>
            <w:r w:rsidRPr="00F340C1">
              <w:rPr>
                <w:rFonts w:ascii="Calibri" w:eastAsia="Times New Roman" w:hAnsi="Calibri" w:cs="Times New Roman"/>
                <w:lang w:val="en-GB"/>
              </w:rPr>
              <w:t>Ranked reasons for re-work</w:t>
            </w:r>
          </w:p>
        </w:tc>
        <w:tc>
          <w:tcPr>
            <w:tcW w:w="2460" w:type="dxa"/>
            <w:tcBorders>
              <w:top w:val="single" w:sz="4" w:space="0" w:color="auto"/>
              <w:left w:val="nil"/>
              <w:bottom w:val="single" w:sz="4" w:space="0" w:color="auto"/>
              <w:right w:val="single" w:sz="4" w:space="0" w:color="auto"/>
            </w:tcBorders>
            <w:shd w:val="clear" w:color="000000" w:fill="FFFFFF"/>
            <w:noWrap/>
            <w:vAlign w:val="bottom"/>
            <w:hideMark/>
          </w:tcPr>
          <w:p w14:paraId="68803BC8" w14:textId="77777777" w:rsidR="00F340C1" w:rsidRPr="00F340C1" w:rsidRDefault="00F340C1" w:rsidP="00F340C1">
            <w:pPr>
              <w:rPr>
                <w:rFonts w:ascii="Calibri" w:eastAsia="Times New Roman" w:hAnsi="Calibri" w:cs="Times New Roman"/>
                <w:lang w:val="en-GB"/>
              </w:rPr>
            </w:pPr>
            <w:r w:rsidRPr="00F340C1">
              <w:rPr>
                <w:rFonts w:ascii="Calibri" w:eastAsia="Times New Roman" w:hAnsi="Calibri" w:cs="Times New Roman"/>
                <w:lang w:val="en-GB"/>
              </w:rPr>
              <w:t> </w:t>
            </w:r>
          </w:p>
        </w:tc>
        <w:tc>
          <w:tcPr>
            <w:tcW w:w="2460" w:type="dxa"/>
            <w:tcBorders>
              <w:top w:val="single" w:sz="4" w:space="0" w:color="auto"/>
              <w:left w:val="nil"/>
              <w:bottom w:val="single" w:sz="4" w:space="0" w:color="auto"/>
              <w:right w:val="single" w:sz="4" w:space="0" w:color="auto"/>
            </w:tcBorders>
            <w:shd w:val="clear" w:color="000000" w:fill="FFFFFF"/>
            <w:noWrap/>
            <w:vAlign w:val="bottom"/>
            <w:hideMark/>
          </w:tcPr>
          <w:p w14:paraId="1A8246AB" w14:textId="77777777" w:rsidR="00F340C1" w:rsidRPr="00F340C1" w:rsidRDefault="00F340C1" w:rsidP="00F340C1">
            <w:pPr>
              <w:rPr>
                <w:rFonts w:ascii="Calibri" w:eastAsia="Times New Roman" w:hAnsi="Calibri" w:cs="Times New Roman"/>
                <w:lang w:val="en-GB"/>
              </w:rPr>
            </w:pPr>
            <w:r w:rsidRPr="00F340C1">
              <w:rPr>
                <w:rFonts w:ascii="Calibri" w:eastAsia="Times New Roman" w:hAnsi="Calibri" w:cs="Times New Roman"/>
                <w:lang w:val="en-GB"/>
              </w:rPr>
              <w:t> </w:t>
            </w:r>
          </w:p>
        </w:tc>
        <w:tc>
          <w:tcPr>
            <w:tcW w:w="2460" w:type="dxa"/>
            <w:tcBorders>
              <w:top w:val="single" w:sz="4" w:space="0" w:color="auto"/>
              <w:left w:val="nil"/>
              <w:bottom w:val="single" w:sz="4" w:space="0" w:color="auto"/>
              <w:right w:val="single" w:sz="4" w:space="0" w:color="auto"/>
            </w:tcBorders>
            <w:shd w:val="clear" w:color="000000" w:fill="FFFFFF"/>
            <w:noWrap/>
            <w:vAlign w:val="bottom"/>
            <w:hideMark/>
          </w:tcPr>
          <w:p w14:paraId="12DDCDE3" w14:textId="77777777" w:rsidR="00F340C1" w:rsidRPr="00F340C1" w:rsidRDefault="00F340C1" w:rsidP="00F340C1">
            <w:pPr>
              <w:rPr>
                <w:rFonts w:ascii="Calibri" w:eastAsia="Times New Roman" w:hAnsi="Calibri" w:cs="Times New Roman"/>
                <w:lang w:val="en-GB"/>
              </w:rPr>
            </w:pPr>
            <w:r w:rsidRPr="00F340C1">
              <w:rPr>
                <w:rFonts w:ascii="Calibri" w:eastAsia="Times New Roman" w:hAnsi="Calibri" w:cs="Times New Roman"/>
                <w:lang w:val="en-GB"/>
              </w:rPr>
              <w:t> </w:t>
            </w:r>
          </w:p>
        </w:tc>
      </w:tr>
      <w:tr w:rsidR="00F340C1" w:rsidRPr="00F340C1" w14:paraId="0A8F5986" w14:textId="77777777" w:rsidTr="00F340C1">
        <w:trPr>
          <w:trHeight w:val="3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71225912"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A</w:t>
            </w:r>
          </w:p>
        </w:tc>
        <w:tc>
          <w:tcPr>
            <w:tcW w:w="2460" w:type="dxa"/>
            <w:tcBorders>
              <w:top w:val="nil"/>
              <w:left w:val="nil"/>
              <w:bottom w:val="single" w:sz="4" w:space="0" w:color="auto"/>
              <w:right w:val="single" w:sz="4" w:space="0" w:color="auto"/>
            </w:tcBorders>
            <w:shd w:val="clear" w:color="000000" w:fill="FFFFFF"/>
            <w:noWrap/>
            <w:vAlign w:val="bottom"/>
            <w:hideMark/>
          </w:tcPr>
          <w:p w14:paraId="4DBFECD7"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B</w:t>
            </w:r>
          </w:p>
        </w:tc>
        <w:tc>
          <w:tcPr>
            <w:tcW w:w="2460" w:type="dxa"/>
            <w:tcBorders>
              <w:top w:val="nil"/>
              <w:left w:val="nil"/>
              <w:bottom w:val="single" w:sz="4" w:space="0" w:color="auto"/>
              <w:right w:val="single" w:sz="4" w:space="0" w:color="auto"/>
            </w:tcBorders>
            <w:shd w:val="clear" w:color="000000" w:fill="FFFFFF"/>
            <w:noWrap/>
            <w:vAlign w:val="bottom"/>
            <w:hideMark/>
          </w:tcPr>
          <w:p w14:paraId="56EDE41F"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C</w:t>
            </w:r>
          </w:p>
        </w:tc>
        <w:tc>
          <w:tcPr>
            <w:tcW w:w="2460" w:type="dxa"/>
            <w:tcBorders>
              <w:top w:val="nil"/>
              <w:left w:val="nil"/>
              <w:bottom w:val="single" w:sz="4" w:space="0" w:color="auto"/>
              <w:right w:val="single" w:sz="4" w:space="0" w:color="auto"/>
            </w:tcBorders>
            <w:shd w:val="clear" w:color="000000" w:fill="FFFFFF"/>
            <w:noWrap/>
            <w:vAlign w:val="bottom"/>
            <w:hideMark/>
          </w:tcPr>
          <w:p w14:paraId="7F55684D" w14:textId="77777777" w:rsidR="00F340C1" w:rsidRPr="00F340C1" w:rsidRDefault="00F340C1" w:rsidP="00F340C1">
            <w:pPr>
              <w:rPr>
                <w:rFonts w:ascii="Calibri" w:eastAsia="Times New Roman" w:hAnsi="Calibri" w:cs="Times New Roman"/>
                <w:lang w:val="en-GB"/>
              </w:rPr>
            </w:pPr>
            <w:r w:rsidRPr="00F340C1">
              <w:rPr>
                <w:rFonts w:ascii="Calibri" w:eastAsia="Times New Roman" w:hAnsi="Calibri" w:cs="Times New Roman"/>
                <w:lang w:val="en-GB"/>
              </w:rPr>
              <w:t> </w:t>
            </w:r>
          </w:p>
        </w:tc>
      </w:tr>
      <w:tr w:rsidR="00F340C1" w:rsidRPr="00F340C1" w14:paraId="69C088DD" w14:textId="77777777" w:rsidTr="00F340C1">
        <w:trPr>
          <w:trHeight w:val="6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386A0D6C"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1</w:t>
            </w:r>
          </w:p>
        </w:tc>
        <w:tc>
          <w:tcPr>
            <w:tcW w:w="2460" w:type="dxa"/>
            <w:tcBorders>
              <w:top w:val="nil"/>
              <w:left w:val="nil"/>
              <w:bottom w:val="single" w:sz="4" w:space="0" w:color="auto"/>
              <w:right w:val="single" w:sz="4" w:space="0" w:color="auto"/>
            </w:tcBorders>
            <w:shd w:val="clear" w:color="000000" w:fill="FFFFFF"/>
            <w:noWrap/>
            <w:vAlign w:val="bottom"/>
            <w:hideMark/>
          </w:tcPr>
          <w:p w14:paraId="5791B45C"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1</w:t>
            </w:r>
          </w:p>
        </w:tc>
        <w:tc>
          <w:tcPr>
            <w:tcW w:w="2460" w:type="dxa"/>
            <w:tcBorders>
              <w:top w:val="nil"/>
              <w:left w:val="nil"/>
              <w:bottom w:val="single" w:sz="4" w:space="0" w:color="auto"/>
              <w:right w:val="single" w:sz="4" w:space="0" w:color="auto"/>
            </w:tcBorders>
            <w:shd w:val="clear" w:color="000000" w:fill="FFFFFF"/>
            <w:noWrap/>
            <w:vAlign w:val="bottom"/>
            <w:hideMark/>
          </w:tcPr>
          <w:p w14:paraId="0BC11C3F"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2</w:t>
            </w:r>
          </w:p>
        </w:tc>
        <w:tc>
          <w:tcPr>
            <w:tcW w:w="2460" w:type="dxa"/>
            <w:tcBorders>
              <w:top w:val="nil"/>
              <w:left w:val="nil"/>
              <w:bottom w:val="single" w:sz="4" w:space="0" w:color="auto"/>
              <w:right w:val="single" w:sz="4" w:space="0" w:color="auto"/>
            </w:tcBorders>
            <w:shd w:val="clear" w:color="000000" w:fill="FFFFFF"/>
            <w:vAlign w:val="bottom"/>
            <w:hideMark/>
          </w:tcPr>
          <w:p w14:paraId="0A6542CE"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Claims not supportable</w:t>
            </w:r>
          </w:p>
        </w:tc>
      </w:tr>
      <w:tr w:rsidR="00F340C1" w:rsidRPr="00F340C1" w14:paraId="57AE551C" w14:textId="77777777" w:rsidTr="00F340C1">
        <w:trPr>
          <w:trHeight w:val="6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1A4F70B0"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2</w:t>
            </w:r>
          </w:p>
        </w:tc>
        <w:tc>
          <w:tcPr>
            <w:tcW w:w="2460" w:type="dxa"/>
            <w:tcBorders>
              <w:top w:val="nil"/>
              <w:left w:val="nil"/>
              <w:bottom w:val="single" w:sz="4" w:space="0" w:color="auto"/>
              <w:right w:val="single" w:sz="4" w:space="0" w:color="auto"/>
            </w:tcBorders>
            <w:shd w:val="clear" w:color="000000" w:fill="FFFFFF"/>
            <w:noWrap/>
            <w:vAlign w:val="bottom"/>
            <w:hideMark/>
          </w:tcPr>
          <w:p w14:paraId="74A2C0B7"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2</w:t>
            </w:r>
          </w:p>
        </w:tc>
        <w:tc>
          <w:tcPr>
            <w:tcW w:w="2460" w:type="dxa"/>
            <w:tcBorders>
              <w:top w:val="nil"/>
              <w:left w:val="nil"/>
              <w:bottom w:val="single" w:sz="4" w:space="0" w:color="auto"/>
              <w:right w:val="single" w:sz="4" w:space="0" w:color="auto"/>
            </w:tcBorders>
            <w:shd w:val="clear" w:color="000000" w:fill="FFFFFF"/>
            <w:noWrap/>
            <w:vAlign w:val="bottom"/>
            <w:hideMark/>
          </w:tcPr>
          <w:p w14:paraId="22C80FD6"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1</w:t>
            </w:r>
          </w:p>
        </w:tc>
        <w:tc>
          <w:tcPr>
            <w:tcW w:w="2460" w:type="dxa"/>
            <w:tcBorders>
              <w:top w:val="nil"/>
              <w:left w:val="nil"/>
              <w:bottom w:val="single" w:sz="4" w:space="0" w:color="auto"/>
              <w:right w:val="single" w:sz="4" w:space="0" w:color="auto"/>
            </w:tcBorders>
            <w:shd w:val="clear" w:color="000000" w:fill="FFFFFF"/>
            <w:vAlign w:val="bottom"/>
            <w:hideMark/>
          </w:tcPr>
          <w:p w14:paraId="7014592F"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References missing or not marked</w:t>
            </w:r>
          </w:p>
        </w:tc>
      </w:tr>
      <w:tr w:rsidR="00F340C1" w:rsidRPr="00F340C1" w14:paraId="7980D848" w14:textId="77777777" w:rsidTr="00F340C1">
        <w:trPr>
          <w:trHeight w:val="9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560408E2"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3</w:t>
            </w:r>
          </w:p>
        </w:tc>
        <w:tc>
          <w:tcPr>
            <w:tcW w:w="2460" w:type="dxa"/>
            <w:tcBorders>
              <w:top w:val="nil"/>
              <w:left w:val="nil"/>
              <w:bottom w:val="single" w:sz="4" w:space="0" w:color="auto"/>
              <w:right w:val="single" w:sz="4" w:space="0" w:color="auto"/>
            </w:tcBorders>
            <w:shd w:val="clear" w:color="000000" w:fill="FFFFFF"/>
            <w:noWrap/>
            <w:vAlign w:val="bottom"/>
            <w:hideMark/>
          </w:tcPr>
          <w:p w14:paraId="73D5ADA6"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4</w:t>
            </w:r>
          </w:p>
        </w:tc>
        <w:tc>
          <w:tcPr>
            <w:tcW w:w="2460" w:type="dxa"/>
            <w:tcBorders>
              <w:top w:val="nil"/>
              <w:left w:val="nil"/>
              <w:bottom w:val="single" w:sz="4" w:space="0" w:color="auto"/>
              <w:right w:val="single" w:sz="4" w:space="0" w:color="auto"/>
            </w:tcBorders>
            <w:shd w:val="clear" w:color="000000" w:fill="FFFFFF"/>
            <w:noWrap/>
            <w:vAlign w:val="bottom"/>
            <w:hideMark/>
          </w:tcPr>
          <w:p w14:paraId="6773BA8E"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4</w:t>
            </w:r>
          </w:p>
        </w:tc>
        <w:tc>
          <w:tcPr>
            <w:tcW w:w="2460" w:type="dxa"/>
            <w:tcBorders>
              <w:top w:val="nil"/>
              <w:left w:val="nil"/>
              <w:bottom w:val="single" w:sz="4" w:space="0" w:color="auto"/>
              <w:right w:val="single" w:sz="4" w:space="0" w:color="auto"/>
            </w:tcBorders>
            <w:shd w:val="clear" w:color="000000" w:fill="FFFFFF"/>
            <w:vAlign w:val="bottom"/>
            <w:hideMark/>
          </w:tcPr>
          <w:p w14:paraId="5DC8C029"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Difference in opinion in interpreting the Code</w:t>
            </w:r>
          </w:p>
        </w:tc>
      </w:tr>
      <w:tr w:rsidR="00F340C1" w:rsidRPr="00F340C1" w14:paraId="38EA085A" w14:textId="77777777" w:rsidTr="00F340C1">
        <w:trPr>
          <w:trHeight w:val="6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5EF637DE"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6</w:t>
            </w:r>
          </w:p>
        </w:tc>
        <w:tc>
          <w:tcPr>
            <w:tcW w:w="2460" w:type="dxa"/>
            <w:tcBorders>
              <w:top w:val="nil"/>
              <w:left w:val="nil"/>
              <w:bottom w:val="single" w:sz="4" w:space="0" w:color="auto"/>
              <w:right w:val="single" w:sz="4" w:space="0" w:color="auto"/>
            </w:tcBorders>
            <w:shd w:val="clear" w:color="000000" w:fill="FFFFFF"/>
            <w:noWrap/>
            <w:vAlign w:val="bottom"/>
            <w:hideMark/>
          </w:tcPr>
          <w:p w14:paraId="26CA2747"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3</w:t>
            </w:r>
          </w:p>
        </w:tc>
        <w:tc>
          <w:tcPr>
            <w:tcW w:w="2460" w:type="dxa"/>
            <w:tcBorders>
              <w:top w:val="nil"/>
              <w:left w:val="nil"/>
              <w:bottom w:val="single" w:sz="4" w:space="0" w:color="auto"/>
              <w:right w:val="single" w:sz="4" w:space="0" w:color="auto"/>
            </w:tcBorders>
            <w:shd w:val="clear" w:color="000000" w:fill="FFFFFF"/>
            <w:noWrap/>
            <w:vAlign w:val="bottom"/>
            <w:hideMark/>
          </w:tcPr>
          <w:p w14:paraId="34518A49"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3</w:t>
            </w:r>
          </w:p>
        </w:tc>
        <w:tc>
          <w:tcPr>
            <w:tcW w:w="2460" w:type="dxa"/>
            <w:tcBorders>
              <w:top w:val="nil"/>
              <w:left w:val="nil"/>
              <w:bottom w:val="single" w:sz="4" w:space="0" w:color="auto"/>
              <w:right w:val="single" w:sz="4" w:space="0" w:color="auto"/>
            </w:tcBorders>
            <w:shd w:val="clear" w:color="000000" w:fill="FFFFFF"/>
            <w:vAlign w:val="bottom"/>
            <w:hideMark/>
          </w:tcPr>
          <w:p w14:paraId="3732F4E7"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Spelling and grammar</w:t>
            </w:r>
          </w:p>
        </w:tc>
      </w:tr>
      <w:tr w:rsidR="00F340C1" w:rsidRPr="00F340C1" w14:paraId="5AE06ED6" w14:textId="77777777" w:rsidTr="00F340C1">
        <w:trPr>
          <w:trHeight w:val="6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054F34A6"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4</w:t>
            </w:r>
          </w:p>
        </w:tc>
        <w:tc>
          <w:tcPr>
            <w:tcW w:w="2460" w:type="dxa"/>
            <w:tcBorders>
              <w:top w:val="nil"/>
              <w:left w:val="nil"/>
              <w:bottom w:val="single" w:sz="4" w:space="0" w:color="auto"/>
              <w:right w:val="single" w:sz="4" w:space="0" w:color="auto"/>
            </w:tcBorders>
            <w:shd w:val="clear" w:color="000000" w:fill="FFFFFF"/>
            <w:noWrap/>
            <w:vAlign w:val="bottom"/>
            <w:hideMark/>
          </w:tcPr>
          <w:p w14:paraId="4AA37083"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5</w:t>
            </w:r>
          </w:p>
        </w:tc>
        <w:tc>
          <w:tcPr>
            <w:tcW w:w="2460" w:type="dxa"/>
            <w:tcBorders>
              <w:top w:val="nil"/>
              <w:left w:val="nil"/>
              <w:bottom w:val="single" w:sz="4" w:space="0" w:color="auto"/>
              <w:right w:val="single" w:sz="4" w:space="0" w:color="auto"/>
            </w:tcBorders>
            <w:shd w:val="clear" w:color="000000" w:fill="FFFFFF"/>
            <w:noWrap/>
            <w:vAlign w:val="bottom"/>
            <w:hideMark/>
          </w:tcPr>
          <w:p w14:paraId="7B2031DF"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5</w:t>
            </w:r>
          </w:p>
        </w:tc>
        <w:tc>
          <w:tcPr>
            <w:tcW w:w="2460" w:type="dxa"/>
            <w:tcBorders>
              <w:top w:val="nil"/>
              <w:left w:val="nil"/>
              <w:bottom w:val="single" w:sz="4" w:space="0" w:color="auto"/>
              <w:right w:val="single" w:sz="4" w:space="0" w:color="auto"/>
            </w:tcBorders>
            <w:shd w:val="clear" w:color="000000" w:fill="FFFFFF"/>
            <w:vAlign w:val="bottom"/>
            <w:hideMark/>
          </w:tcPr>
          <w:p w14:paraId="1D262183"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Other technical Code issue</w:t>
            </w:r>
          </w:p>
        </w:tc>
      </w:tr>
      <w:tr w:rsidR="00F340C1" w:rsidRPr="00F340C1" w14:paraId="5B8530B5" w14:textId="77777777" w:rsidTr="00F340C1">
        <w:trPr>
          <w:trHeight w:val="9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6F08F62F"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5</w:t>
            </w:r>
          </w:p>
        </w:tc>
        <w:tc>
          <w:tcPr>
            <w:tcW w:w="2460" w:type="dxa"/>
            <w:tcBorders>
              <w:top w:val="nil"/>
              <w:left w:val="nil"/>
              <w:bottom w:val="single" w:sz="4" w:space="0" w:color="auto"/>
              <w:right w:val="single" w:sz="4" w:space="0" w:color="auto"/>
            </w:tcBorders>
            <w:shd w:val="clear" w:color="000000" w:fill="FFFFFF"/>
            <w:noWrap/>
            <w:vAlign w:val="bottom"/>
            <w:hideMark/>
          </w:tcPr>
          <w:p w14:paraId="45D95F3C"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7</w:t>
            </w:r>
          </w:p>
        </w:tc>
        <w:tc>
          <w:tcPr>
            <w:tcW w:w="2460" w:type="dxa"/>
            <w:tcBorders>
              <w:top w:val="nil"/>
              <w:left w:val="nil"/>
              <w:bottom w:val="single" w:sz="4" w:space="0" w:color="auto"/>
              <w:right w:val="single" w:sz="4" w:space="0" w:color="auto"/>
            </w:tcBorders>
            <w:shd w:val="clear" w:color="000000" w:fill="FFFFFF"/>
            <w:noWrap/>
            <w:vAlign w:val="bottom"/>
            <w:hideMark/>
          </w:tcPr>
          <w:p w14:paraId="3F276BDF"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6</w:t>
            </w:r>
          </w:p>
        </w:tc>
        <w:tc>
          <w:tcPr>
            <w:tcW w:w="2460" w:type="dxa"/>
            <w:tcBorders>
              <w:top w:val="nil"/>
              <w:left w:val="nil"/>
              <w:bottom w:val="single" w:sz="4" w:space="0" w:color="auto"/>
              <w:right w:val="single" w:sz="4" w:space="0" w:color="auto"/>
            </w:tcBorders>
            <w:shd w:val="clear" w:color="000000" w:fill="FFFFFF"/>
            <w:vAlign w:val="bottom"/>
            <w:hideMark/>
          </w:tcPr>
          <w:p w14:paraId="66621324"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Review criteria changed during project</w:t>
            </w:r>
          </w:p>
        </w:tc>
      </w:tr>
      <w:tr w:rsidR="00F340C1" w:rsidRPr="00F340C1" w14:paraId="09B84618" w14:textId="77777777" w:rsidTr="00F340C1">
        <w:trPr>
          <w:trHeight w:val="600"/>
        </w:trPr>
        <w:tc>
          <w:tcPr>
            <w:tcW w:w="2460" w:type="dxa"/>
            <w:tcBorders>
              <w:top w:val="nil"/>
              <w:left w:val="single" w:sz="4" w:space="0" w:color="auto"/>
              <w:bottom w:val="single" w:sz="4" w:space="0" w:color="auto"/>
              <w:right w:val="single" w:sz="4" w:space="0" w:color="auto"/>
            </w:tcBorders>
            <w:shd w:val="clear" w:color="000000" w:fill="FFFFFF"/>
            <w:noWrap/>
            <w:vAlign w:val="bottom"/>
            <w:hideMark/>
          </w:tcPr>
          <w:p w14:paraId="1FAA676C"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7</w:t>
            </w:r>
          </w:p>
        </w:tc>
        <w:tc>
          <w:tcPr>
            <w:tcW w:w="2460" w:type="dxa"/>
            <w:tcBorders>
              <w:top w:val="nil"/>
              <w:left w:val="nil"/>
              <w:bottom w:val="single" w:sz="4" w:space="0" w:color="auto"/>
              <w:right w:val="single" w:sz="4" w:space="0" w:color="auto"/>
            </w:tcBorders>
            <w:shd w:val="clear" w:color="000000" w:fill="FFFFFF"/>
            <w:noWrap/>
            <w:vAlign w:val="bottom"/>
            <w:hideMark/>
          </w:tcPr>
          <w:p w14:paraId="674E61A4"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6</w:t>
            </w:r>
          </w:p>
        </w:tc>
        <w:tc>
          <w:tcPr>
            <w:tcW w:w="2460" w:type="dxa"/>
            <w:tcBorders>
              <w:top w:val="nil"/>
              <w:left w:val="nil"/>
              <w:bottom w:val="single" w:sz="4" w:space="0" w:color="auto"/>
              <w:right w:val="single" w:sz="4" w:space="0" w:color="auto"/>
            </w:tcBorders>
            <w:shd w:val="clear" w:color="000000" w:fill="FFFFFF"/>
            <w:noWrap/>
            <w:vAlign w:val="bottom"/>
            <w:hideMark/>
          </w:tcPr>
          <w:p w14:paraId="4504AE63" w14:textId="77777777" w:rsidR="00F340C1" w:rsidRPr="00F340C1" w:rsidRDefault="00F340C1" w:rsidP="00F340C1">
            <w:pPr>
              <w:jc w:val="center"/>
              <w:rPr>
                <w:rFonts w:ascii="Calibri" w:eastAsia="Times New Roman" w:hAnsi="Calibri" w:cs="Times New Roman"/>
                <w:lang w:val="en-GB"/>
              </w:rPr>
            </w:pPr>
            <w:r w:rsidRPr="00F340C1">
              <w:rPr>
                <w:rFonts w:ascii="Calibri" w:eastAsia="Times New Roman" w:hAnsi="Calibri" w:cs="Times New Roman"/>
                <w:lang w:val="en-GB"/>
              </w:rPr>
              <w:t>7</w:t>
            </w:r>
          </w:p>
        </w:tc>
        <w:tc>
          <w:tcPr>
            <w:tcW w:w="2460" w:type="dxa"/>
            <w:tcBorders>
              <w:top w:val="nil"/>
              <w:left w:val="nil"/>
              <w:bottom w:val="single" w:sz="4" w:space="0" w:color="auto"/>
              <w:right w:val="single" w:sz="4" w:space="0" w:color="auto"/>
            </w:tcBorders>
            <w:shd w:val="clear" w:color="000000" w:fill="FFFFFF"/>
            <w:vAlign w:val="bottom"/>
            <w:hideMark/>
          </w:tcPr>
          <w:p w14:paraId="5FA2F5B0" w14:textId="77777777" w:rsidR="00F340C1" w:rsidRPr="00F340C1" w:rsidRDefault="00F340C1" w:rsidP="00F340C1">
            <w:pPr>
              <w:rPr>
                <w:rFonts w:ascii="Microsoft Sans Serif" w:eastAsia="Times New Roman" w:hAnsi="Microsoft Sans Serif" w:cs="Microsoft Sans Serif"/>
                <w:lang w:val="en-GB"/>
              </w:rPr>
            </w:pPr>
            <w:r w:rsidRPr="00F340C1">
              <w:rPr>
                <w:rFonts w:ascii="Microsoft Sans Serif" w:eastAsia="Times New Roman" w:hAnsi="Microsoft Sans Serif" w:cs="Microsoft Sans Serif"/>
                <w:lang w:val="en-GB"/>
              </w:rPr>
              <w:t>Layout or presentation</w:t>
            </w:r>
          </w:p>
        </w:tc>
      </w:tr>
    </w:tbl>
    <w:p w14:paraId="61949A50" w14:textId="77777777" w:rsidR="00F340C1" w:rsidRPr="00F340C1" w:rsidRDefault="00F340C1" w:rsidP="00F340C1">
      <w:pPr>
        <w:rPr>
          <w:rFonts w:asciiTheme="majorHAnsi" w:hAnsiTheme="majorHAnsi"/>
        </w:rPr>
      </w:pPr>
    </w:p>
    <w:p w14:paraId="2C6F8AE9" w14:textId="77777777" w:rsidR="0084329A" w:rsidRPr="00715BB0" w:rsidRDefault="0084329A">
      <w:pPr>
        <w:rPr>
          <w:rFonts w:asciiTheme="majorHAnsi" w:hAnsiTheme="majorHAnsi"/>
        </w:rPr>
      </w:pPr>
    </w:p>
    <w:p w14:paraId="2C0753C0" w14:textId="50A08C06" w:rsidR="0084329A" w:rsidRPr="00715BB0" w:rsidRDefault="00BB4AB9">
      <w:pPr>
        <w:rPr>
          <w:rFonts w:asciiTheme="majorHAnsi" w:hAnsiTheme="majorHAnsi"/>
        </w:rPr>
      </w:pPr>
      <w:r>
        <w:rPr>
          <w:rFonts w:asciiTheme="majorHAnsi" w:hAnsiTheme="majorHAnsi"/>
        </w:rPr>
        <w:t>Free text p</w:t>
      </w:r>
      <w:r w:rsidR="00DA7256" w:rsidRPr="00715BB0">
        <w:rPr>
          <w:rFonts w:asciiTheme="majorHAnsi" w:hAnsiTheme="majorHAnsi"/>
        </w:rPr>
        <w:t xml:space="preserve">roposed solutions from respondents were grouped </w:t>
      </w:r>
      <w:r>
        <w:rPr>
          <w:rFonts w:asciiTheme="majorHAnsi" w:hAnsiTheme="majorHAnsi"/>
        </w:rPr>
        <w:t xml:space="preserve">subjectively </w:t>
      </w:r>
      <w:r w:rsidR="00DA7256" w:rsidRPr="00715BB0">
        <w:rPr>
          <w:rFonts w:asciiTheme="majorHAnsi" w:hAnsiTheme="majorHAnsi"/>
        </w:rPr>
        <w:t>into themes.  Th</w:t>
      </w:r>
      <w:r w:rsidR="0084329A" w:rsidRPr="00715BB0">
        <w:rPr>
          <w:rFonts w:asciiTheme="majorHAnsi" w:hAnsiTheme="majorHAnsi"/>
        </w:rPr>
        <w:t xml:space="preserve">e three most </w:t>
      </w:r>
      <w:r>
        <w:rPr>
          <w:rFonts w:asciiTheme="majorHAnsi" w:hAnsiTheme="majorHAnsi"/>
        </w:rPr>
        <w:t xml:space="preserve">frequent cited </w:t>
      </w:r>
      <w:r w:rsidR="00622F7C">
        <w:rPr>
          <w:rFonts w:asciiTheme="majorHAnsi" w:hAnsiTheme="majorHAnsi"/>
        </w:rPr>
        <w:t>proposals</w:t>
      </w:r>
      <w:bookmarkStart w:id="0" w:name="_GoBack"/>
      <w:bookmarkEnd w:id="0"/>
      <w:r>
        <w:rPr>
          <w:rFonts w:asciiTheme="majorHAnsi" w:hAnsiTheme="majorHAnsi"/>
        </w:rPr>
        <w:t xml:space="preserve"> </w:t>
      </w:r>
      <w:r w:rsidR="0084329A" w:rsidRPr="00715BB0">
        <w:rPr>
          <w:rFonts w:asciiTheme="majorHAnsi" w:hAnsiTheme="majorHAnsi"/>
        </w:rPr>
        <w:t>were:</w:t>
      </w:r>
    </w:p>
    <w:p w14:paraId="6EE215BB" w14:textId="77777777" w:rsidR="00843E58" w:rsidRPr="00715BB0" w:rsidRDefault="0084329A" w:rsidP="00CF68B5">
      <w:pPr>
        <w:pStyle w:val="ListParagraph"/>
        <w:numPr>
          <w:ilvl w:val="0"/>
          <w:numId w:val="4"/>
        </w:numPr>
        <w:rPr>
          <w:rFonts w:asciiTheme="majorHAnsi" w:hAnsiTheme="majorHAnsi"/>
        </w:rPr>
      </w:pPr>
      <w:proofErr w:type="gramStart"/>
      <w:r w:rsidRPr="00715BB0">
        <w:rPr>
          <w:rFonts w:asciiTheme="majorHAnsi" w:hAnsiTheme="majorHAnsi"/>
        </w:rPr>
        <w:t>m</w:t>
      </w:r>
      <w:r w:rsidR="00DA7256" w:rsidRPr="00715BB0">
        <w:rPr>
          <w:rFonts w:asciiTheme="majorHAnsi" w:hAnsiTheme="majorHAnsi"/>
        </w:rPr>
        <w:t>eetings</w:t>
      </w:r>
      <w:proofErr w:type="gramEnd"/>
      <w:r w:rsidR="00DA7256" w:rsidRPr="00715BB0">
        <w:rPr>
          <w:rFonts w:asciiTheme="majorHAnsi" w:hAnsiTheme="majorHAnsi"/>
        </w:rPr>
        <w:t xml:space="preserve"> to discuss materials before copy got into the review cycle</w:t>
      </w:r>
    </w:p>
    <w:p w14:paraId="3AF1BEB2" w14:textId="342D2EA5" w:rsidR="00843E58" w:rsidRPr="00715BB0" w:rsidRDefault="00843E58" w:rsidP="00CF68B5">
      <w:pPr>
        <w:pStyle w:val="ListParagraph"/>
        <w:numPr>
          <w:ilvl w:val="0"/>
          <w:numId w:val="4"/>
        </w:numPr>
        <w:rPr>
          <w:rFonts w:asciiTheme="majorHAnsi" w:hAnsiTheme="majorHAnsi"/>
        </w:rPr>
      </w:pPr>
      <w:proofErr w:type="gramStart"/>
      <w:r w:rsidRPr="00715BB0">
        <w:rPr>
          <w:rFonts w:asciiTheme="majorHAnsi" w:hAnsiTheme="majorHAnsi"/>
        </w:rPr>
        <w:t>i</w:t>
      </w:r>
      <w:r w:rsidR="00DA7256" w:rsidRPr="00715BB0">
        <w:rPr>
          <w:rFonts w:asciiTheme="majorHAnsi" w:hAnsiTheme="majorHAnsi"/>
        </w:rPr>
        <w:t>mprove</w:t>
      </w:r>
      <w:proofErr w:type="gramEnd"/>
      <w:r w:rsidR="00DA7256" w:rsidRPr="00715BB0">
        <w:rPr>
          <w:rFonts w:asciiTheme="majorHAnsi" w:hAnsiTheme="majorHAnsi"/>
        </w:rPr>
        <w:t xml:space="preserve"> the scientific accuracy and spelling of copy before review</w:t>
      </w:r>
      <w:r w:rsidR="00BB4AB9">
        <w:rPr>
          <w:rFonts w:asciiTheme="majorHAnsi" w:hAnsiTheme="majorHAnsi"/>
        </w:rPr>
        <w:t>, so that it is right first time</w:t>
      </w:r>
    </w:p>
    <w:p w14:paraId="48C8569E" w14:textId="31254A48" w:rsidR="00DA7256" w:rsidRPr="00715BB0" w:rsidRDefault="00DA7256" w:rsidP="00CF68B5">
      <w:pPr>
        <w:pStyle w:val="ListParagraph"/>
        <w:numPr>
          <w:ilvl w:val="0"/>
          <w:numId w:val="4"/>
        </w:numPr>
        <w:rPr>
          <w:rFonts w:asciiTheme="majorHAnsi" w:hAnsiTheme="majorHAnsi"/>
        </w:rPr>
      </w:pPr>
      <w:proofErr w:type="gramStart"/>
      <w:r w:rsidRPr="00715BB0">
        <w:rPr>
          <w:rFonts w:asciiTheme="majorHAnsi" w:hAnsiTheme="majorHAnsi"/>
        </w:rPr>
        <w:t>insist</w:t>
      </w:r>
      <w:proofErr w:type="gramEnd"/>
      <w:r w:rsidRPr="00715BB0">
        <w:rPr>
          <w:rFonts w:asciiTheme="majorHAnsi" w:hAnsiTheme="majorHAnsi"/>
        </w:rPr>
        <w:t xml:space="preserve"> on consistency betwee</w:t>
      </w:r>
      <w:r w:rsidR="00843E58" w:rsidRPr="00715BB0">
        <w:rPr>
          <w:rFonts w:asciiTheme="majorHAnsi" w:hAnsiTheme="majorHAnsi"/>
        </w:rPr>
        <w:t>n reviewers and between reviews cycles</w:t>
      </w:r>
    </w:p>
    <w:p w14:paraId="4537BBA0" w14:textId="77777777" w:rsidR="00DE3DD3" w:rsidRPr="00715BB0" w:rsidRDefault="00DE3DD3">
      <w:pPr>
        <w:rPr>
          <w:rFonts w:asciiTheme="majorHAnsi" w:hAnsiTheme="majorHAnsi"/>
        </w:rPr>
      </w:pPr>
    </w:p>
    <w:p w14:paraId="0625BA5A" w14:textId="33830CF0" w:rsidR="00DE3DD3" w:rsidRPr="00715BB0" w:rsidRDefault="00843E58">
      <w:pPr>
        <w:rPr>
          <w:rFonts w:asciiTheme="majorHAnsi" w:hAnsiTheme="majorHAnsi"/>
          <w:b/>
        </w:rPr>
      </w:pPr>
      <w:r w:rsidRPr="00715BB0">
        <w:rPr>
          <w:rFonts w:asciiTheme="majorHAnsi" w:hAnsiTheme="majorHAnsi"/>
          <w:b/>
        </w:rPr>
        <w:t>Conclusions</w:t>
      </w:r>
    </w:p>
    <w:p w14:paraId="716B1149" w14:textId="77777777" w:rsidR="00843E58" w:rsidRPr="00715BB0" w:rsidRDefault="00843E58">
      <w:pPr>
        <w:rPr>
          <w:rFonts w:asciiTheme="majorHAnsi" w:hAnsiTheme="majorHAnsi"/>
        </w:rPr>
      </w:pPr>
    </w:p>
    <w:p w14:paraId="459430EC" w14:textId="1C571A93" w:rsidR="00843E58" w:rsidRPr="00715BB0" w:rsidRDefault="00843E58">
      <w:pPr>
        <w:rPr>
          <w:rFonts w:asciiTheme="majorHAnsi" w:hAnsiTheme="majorHAnsi"/>
        </w:rPr>
      </w:pPr>
      <w:r w:rsidRPr="00715BB0">
        <w:rPr>
          <w:rFonts w:asciiTheme="majorHAnsi" w:hAnsiTheme="majorHAnsi"/>
        </w:rPr>
        <w:t xml:space="preserve">Between </w:t>
      </w:r>
      <w:r w:rsidR="008D39E1" w:rsidRPr="00715BB0">
        <w:rPr>
          <w:rFonts w:asciiTheme="majorHAnsi" w:hAnsiTheme="majorHAnsi"/>
        </w:rPr>
        <w:t>one third and one</w:t>
      </w:r>
      <w:r w:rsidRPr="00715BB0">
        <w:rPr>
          <w:rFonts w:asciiTheme="majorHAnsi" w:hAnsiTheme="majorHAnsi"/>
        </w:rPr>
        <w:t xml:space="preserve"> half of the availa</w:t>
      </w:r>
      <w:r w:rsidR="008D39E1" w:rsidRPr="00715BB0">
        <w:rPr>
          <w:rFonts w:asciiTheme="majorHAnsi" w:hAnsiTheme="majorHAnsi"/>
        </w:rPr>
        <w:t>ble resource in medical affairs</w:t>
      </w:r>
      <w:r w:rsidRPr="00715BB0">
        <w:rPr>
          <w:rFonts w:asciiTheme="majorHAnsi" w:hAnsiTheme="majorHAnsi"/>
        </w:rPr>
        <w:t xml:space="preserve"> teams </w:t>
      </w:r>
      <w:r w:rsidR="008D39E1" w:rsidRPr="00715BB0">
        <w:rPr>
          <w:rFonts w:asciiTheme="majorHAnsi" w:hAnsiTheme="majorHAnsi"/>
        </w:rPr>
        <w:t xml:space="preserve">in the UK </w:t>
      </w:r>
      <w:r w:rsidRPr="00715BB0">
        <w:rPr>
          <w:rFonts w:asciiTheme="majorHAnsi" w:hAnsiTheme="majorHAnsi"/>
        </w:rPr>
        <w:t xml:space="preserve">is taken up reviewing materials.  </w:t>
      </w:r>
      <w:r w:rsidR="00BB4AB9">
        <w:rPr>
          <w:rFonts w:asciiTheme="majorHAnsi" w:hAnsiTheme="majorHAnsi"/>
        </w:rPr>
        <w:t xml:space="preserve">This varies between </w:t>
      </w:r>
      <w:proofErr w:type="spellStart"/>
      <w:r w:rsidR="00BB4AB9">
        <w:rPr>
          <w:rFonts w:asciiTheme="majorHAnsi" w:hAnsiTheme="majorHAnsi"/>
        </w:rPr>
        <w:t>organisations</w:t>
      </w:r>
      <w:proofErr w:type="spellEnd"/>
      <w:r w:rsidR="00BB4AB9">
        <w:rPr>
          <w:rFonts w:asciiTheme="majorHAnsi" w:hAnsiTheme="majorHAnsi"/>
        </w:rPr>
        <w:t xml:space="preserve"> depending upon allocation of this activity.  </w:t>
      </w:r>
      <w:r w:rsidRPr="00715BB0">
        <w:rPr>
          <w:rFonts w:asciiTheme="majorHAnsi" w:hAnsiTheme="majorHAnsi"/>
        </w:rPr>
        <w:t>Materials are seen multiple times and a significant prop</w:t>
      </w:r>
      <w:r w:rsidR="00F57DE6" w:rsidRPr="00715BB0">
        <w:rPr>
          <w:rFonts w:asciiTheme="majorHAnsi" w:hAnsiTheme="majorHAnsi"/>
        </w:rPr>
        <w:t>ortion of iterations are seen again and again</w:t>
      </w:r>
      <w:r w:rsidRPr="00715BB0">
        <w:rPr>
          <w:rFonts w:asciiTheme="majorHAnsi" w:hAnsiTheme="majorHAnsi"/>
        </w:rPr>
        <w:t xml:space="preserve">.  This causes loss of productivity and internal friction between and within departments. </w:t>
      </w:r>
      <w:r w:rsidR="00A66EE5" w:rsidRPr="00715BB0">
        <w:rPr>
          <w:rFonts w:asciiTheme="majorHAnsi" w:hAnsiTheme="majorHAnsi"/>
        </w:rPr>
        <w:t xml:space="preserve"> Scientists and physicians engaged in review have positive proposals for process improvement, which are consistent across the </w:t>
      </w:r>
      <w:proofErr w:type="spellStart"/>
      <w:r w:rsidR="00A66EE5" w:rsidRPr="00715BB0">
        <w:rPr>
          <w:rFonts w:asciiTheme="majorHAnsi" w:hAnsiTheme="majorHAnsi"/>
        </w:rPr>
        <w:t>organisations</w:t>
      </w:r>
      <w:proofErr w:type="spellEnd"/>
      <w:r w:rsidR="00A66EE5" w:rsidRPr="00715BB0">
        <w:rPr>
          <w:rFonts w:asciiTheme="majorHAnsi" w:hAnsiTheme="majorHAnsi"/>
        </w:rPr>
        <w:t xml:space="preserve"> involved in this piece of work.</w:t>
      </w:r>
    </w:p>
    <w:p w14:paraId="7D803363" w14:textId="77777777" w:rsidR="00A66EE5" w:rsidRPr="00715BB0" w:rsidRDefault="00A66EE5">
      <w:pPr>
        <w:rPr>
          <w:rFonts w:asciiTheme="majorHAnsi" w:hAnsiTheme="majorHAnsi"/>
        </w:rPr>
      </w:pPr>
    </w:p>
    <w:p w14:paraId="78D5BBD0" w14:textId="40C57F78" w:rsidR="008D39E1" w:rsidRPr="00715BB0" w:rsidRDefault="008D39E1" w:rsidP="008D39E1">
      <w:pPr>
        <w:rPr>
          <w:rFonts w:asciiTheme="majorHAnsi" w:hAnsiTheme="majorHAnsi"/>
        </w:rPr>
      </w:pPr>
      <w:r w:rsidRPr="00715BB0">
        <w:rPr>
          <w:rFonts w:asciiTheme="majorHAnsi" w:hAnsiTheme="majorHAnsi"/>
        </w:rPr>
        <w:t xml:space="preserve">This small survey identifies potential best practice.  The interventions proposed are not proven to reduce waste in the copy review process.  However, it seems likely </w:t>
      </w:r>
      <w:r w:rsidRPr="00715BB0">
        <w:rPr>
          <w:rFonts w:asciiTheme="majorHAnsi" w:hAnsiTheme="majorHAnsi"/>
        </w:rPr>
        <w:lastRenderedPageBreak/>
        <w:t xml:space="preserve">that pharmaceutical companies could save time and money by adopting some simple solutions aimed at ensuring only good quality, scientifically valid material enters the review cycle, and by defining review standards, roles and responsibilities.  Physicians and scientists could be released from </w:t>
      </w:r>
      <w:proofErr w:type="gramStart"/>
      <w:r w:rsidRPr="00715BB0">
        <w:rPr>
          <w:rFonts w:asciiTheme="majorHAnsi" w:hAnsiTheme="majorHAnsi"/>
        </w:rPr>
        <w:t>desk work</w:t>
      </w:r>
      <w:proofErr w:type="gramEnd"/>
      <w:r w:rsidRPr="00715BB0">
        <w:rPr>
          <w:rFonts w:asciiTheme="majorHAnsi" w:hAnsiTheme="majorHAnsi"/>
        </w:rPr>
        <w:t xml:space="preserve"> to undertake customer facing activities or conduct studies.  Hard to fill posts and subsequent reliance on contractors could be reduced.</w:t>
      </w:r>
    </w:p>
    <w:p w14:paraId="72D116DB" w14:textId="77777777" w:rsidR="008D39E1" w:rsidRPr="00715BB0" w:rsidRDefault="008D39E1" w:rsidP="008D39E1">
      <w:pPr>
        <w:rPr>
          <w:rFonts w:asciiTheme="majorHAnsi" w:hAnsiTheme="majorHAnsi"/>
        </w:rPr>
      </w:pPr>
    </w:p>
    <w:p w14:paraId="35543C8E" w14:textId="4219A1F6" w:rsidR="008D39E1" w:rsidRPr="00715BB0" w:rsidRDefault="008D39E1" w:rsidP="008D39E1">
      <w:pPr>
        <w:rPr>
          <w:rFonts w:asciiTheme="majorHAnsi" w:hAnsiTheme="majorHAnsi"/>
        </w:rPr>
      </w:pPr>
      <w:r w:rsidRPr="00715BB0">
        <w:rPr>
          <w:rFonts w:asciiTheme="majorHAnsi" w:hAnsiTheme="majorHAnsi"/>
        </w:rPr>
        <w:t xml:space="preserve">This activity has crept up on the industry, to the point now that reviewing copy has become an industry within an industry, occupying half of the working </w:t>
      </w:r>
      <w:r w:rsidR="00F57DE6" w:rsidRPr="00715BB0">
        <w:rPr>
          <w:rFonts w:asciiTheme="majorHAnsi" w:hAnsiTheme="majorHAnsi"/>
        </w:rPr>
        <w:t>lives</w:t>
      </w:r>
      <w:r w:rsidRPr="00715BB0">
        <w:rPr>
          <w:rFonts w:asciiTheme="majorHAnsi" w:hAnsiTheme="majorHAnsi"/>
        </w:rPr>
        <w:t xml:space="preserve"> of hundreds of medical information specialists and pharmaceutical physicians in the UK.  This is not mission critical work and is a diversion from the productive and real work of supporting patients and </w:t>
      </w:r>
      <w:r w:rsidR="00622F7C">
        <w:rPr>
          <w:rFonts w:asciiTheme="majorHAnsi" w:hAnsiTheme="majorHAnsi"/>
        </w:rPr>
        <w:t xml:space="preserve">helping </w:t>
      </w:r>
      <w:r w:rsidRPr="00715BB0">
        <w:rPr>
          <w:rFonts w:asciiTheme="majorHAnsi" w:hAnsiTheme="majorHAnsi"/>
        </w:rPr>
        <w:t>customers to understand medicines.</w:t>
      </w:r>
    </w:p>
    <w:p w14:paraId="337BB264" w14:textId="77777777" w:rsidR="00F57DE6" w:rsidRPr="00715BB0" w:rsidRDefault="00F57DE6" w:rsidP="008D39E1">
      <w:pPr>
        <w:rPr>
          <w:rFonts w:asciiTheme="majorHAnsi" w:hAnsiTheme="majorHAnsi"/>
        </w:rPr>
      </w:pPr>
    </w:p>
    <w:p w14:paraId="5A66D05C" w14:textId="1F0356DE" w:rsidR="008D39E1" w:rsidRDefault="00F57DE6" w:rsidP="008D39E1">
      <w:pPr>
        <w:rPr>
          <w:rFonts w:asciiTheme="majorHAnsi" w:hAnsiTheme="majorHAnsi"/>
        </w:rPr>
      </w:pPr>
      <w:r w:rsidRPr="00715BB0">
        <w:rPr>
          <w:rFonts w:asciiTheme="majorHAnsi" w:hAnsiTheme="majorHAnsi"/>
        </w:rPr>
        <w:t xml:space="preserve">An industry-wide prospective survey is necessary to identify actual resource </w:t>
      </w:r>
      <w:proofErr w:type="spellStart"/>
      <w:r w:rsidRPr="00715BB0">
        <w:rPr>
          <w:rFonts w:asciiTheme="majorHAnsi" w:hAnsiTheme="majorHAnsi"/>
        </w:rPr>
        <w:t>utilisation</w:t>
      </w:r>
      <w:proofErr w:type="spellEnd"/>
      <w:r w:rsidRPr="00715BB0">
        <w:rPr>
          <w:rFonts w:asciiTheme="majorHAnsi" w:hAnsiTheme="majorHAnsi"/>
        </w:rPr>
        <w:t xml:space="preserve"> in this activity and benchmark best </w:t>
      </w:r>
      <w:proofErr w:type="spellStart"/>
      <w:r w:rsidRPr="00715BB0">
        <w:rPr>
          <w:rFonts w:asciiTheme="majorHAnsi" w:hAnsiTheme="majorHAnsi"/>
        </w:rPr>
        <w:t>vs</w:t>
      </w:r>
      <w:proofErr w:type="spellEnd"/>
      <w:r w:rsidRPr="00715BB0">
        <w:rPr>
          <w:rFonts w:asciiTheme="majorHAnsi" w:hAnsiTheme="majorHAnsi"/>
        </w:rPr>
        <w:t xml:space="preserve"> worst practice.  Process improvement interventions could be formally assessed to measure the savings that can be made.</w:t>
      </w:r>
    </w:p>
    <w:p w14:paraId="54A33D5D" w14:textId="77777777" w:rsidR="00BB4AB9" w:rsidRDefault="00BB4AB9" w:rsidP="008D39E1">
      <w:pPr>
        <w:rPr>
          <w:rFonts w:asciiTheme="majorHAnsi" w:hAnsiTheme="majorHAnsi"/>
        </w:rPr>
      </w:pPr>
    </w:p>
    <w:p w14:paraId="1575E8F6" w14:textId="5774D09A" w:rsidR="00BB4AB9" w:rsidRDefault="00BB4AB9" w:rsidP="008D39E1">
      <w:pPr>
        <w:rPr>
          <w:rFonts w:asciiTheme="majorHAnsi" w:hAnsiTheme="majorHAnsi"/>
        </w:rPr>
      </w:pPr>
      <w:r>
        <w:rPr>
          <w:rFonts w:asciiTheme="majorHAnsi" w:hAnsiTheme="majorHAnsi"/>
        </w:rPr>
        <w:t>It is likely that three relatively simple actions could save a lot of time:</w:t>
      </w:r>
    </w:p>
    <w:p w14:paraId="33E80250" w14:textId="77777777" w:rsidR="00BB4AB9" w:rsidRDefault="00BB4AB9" w:rsidP="008D39E1">
      <w:pPr>
        <w:rPr>
          <w:rFonts w:asciiTheme="majorHAnsi" w:hAnsiTheme="majorHAnsi"/>
        </w:rPr>
      </w:pPr>
    </w:p>
    <w:p w14:paraId="6776E67A" w14:textId="1F965174" w:rsidR="00BB4AB9" w:rsidRPr="00BB4AB9" w:rsidRDefault="00BB4AB9" w:rsidP="00BB4AB9">
      <w:pPr>
        <w:pStyle w:val="ListParagraph"/>
        <w:numPr>
          <w:ilvl w:val="0"/>
          <w:numId w:val="7"/>
        </w:numPr>
        <w:rPr>
          <w:rFonts w:asciiTheme="majorHAnsi" w:hAnsiTheme="majorHAnsi"/>
        </w:rPr>
      </w:pPr>
      <w:r w:rsidRPr="00BB4AB9">
        <w:rPr>
          <w:rFonts w:asciiTheme="majorHAnsi" w:hAnsiTheme="majorHAnsi"/>
        </w:rPr>
        <w:t>Improve the standards of materials entering the review cycle</w:t>
      </w:r>
    </w:p>
    <w:p w14:paraId="2124E5F3" w14:textId="22F88A8D" w:rsidR="00BB4AB9" w:rsidRPr="00BB4AB9" w:rsidRDefault="00BB4AB9" w:rsidP="00BB4AB9">
      <w:pPr>
        <w:pStyle w:val="ListParagraph"/>
        <w:numPr>
          <w:ilvl w:val="0"/>
          <w:numId w:val="7"/>
        </w:numPr>
        <w:rPr>
          <w:rFonts w:asciiTheme="majorHAnsi" w:hAnsiTheme="majorHAnsi"/>
        </w:rPr>
      </w:pPr>
      <w:r w:rsidRPr="00BB4AB9">
        <w:rPr>
          <w:rFonts w:asciiTheme="majorHAnsi" w:hAnsiTheme="majorHAnsi"/>
        </w:rPr>
        <w:t>Define and limit responsibilities</w:t>
      </w:r>
    </w:p>
    <w:p w14:paraId="3A9305A3" w14:textId="77777777" w:rsidR="008D39E1" w:rsidRPr="00715BB0" w:rsidRDefault="008D39E1" w:rsidP="008D39E1">
      <w:pPr>
        <w:rPr>
          <w:rFonts w:asciiTheme="majorHAnsi" w:hAnsiTheme="majorHAnsi"/>
        </w:rPr>
      </w:pPr>
    </w:p>
    <w:p w14:paraId="7F064EF5" w14:textId="59B19406" w:rsidR="008D39E1" w:rsidRPr="00715BB0" w:rsidRDefault="008D39E1">
      <w:pPr>
        <w:rPr>
          <w:rFonts w:asciiTheme="majorHAnsi" w:hAnsiTheme="majorHAnsi"/>
        </w:rPr>
      </w:pPr>
    </w:p>
    <w:sectPr w:rsidR="008D39E1" w:rsidRPr="00715BB0" w:rsidSect="00CC2E6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icrosoft Sans Serif">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73B94"/>
    <w:multiLevelType w:val="hybridMultilevel"/>
    <w:tmpl w:val="CB56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052A8"/>
    <w:multiLevelType w:val="hybridMultilevel"/>
    <w:tmpl w:val="788C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661636"/>
    <w:multiLevelType w:val="hybridMultilevel"/>
    <w:tmpl w:val="BAD6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53B64"/>
    <w:multiLevelType w:val="hybridMultilevel"/>
    <w:tmpl w:val="682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304082"/>
    <w:multiLevelType w:val="hybridMultilevel"/>
    <w:tmpl w:val="18A8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C2B46"/>
    <w:multiLevelType w:val="hybridMultilevel"/>
    <w:tmpl w:val="965A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65709C"/>
    <w:multiLevelType w:val="hybridMultilevel"/>
    <w:tmpl w:val="CEC0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D3"/>
    <w:rsid w:val="00003684"/>
    <w:rsid w:val="00257AC1"/>
    <w:rsid w:val="00346839"/>
    <w:rsid w:val="00351D9E"/>
    <w:rsid w:val="003C699C"/>
    <w:rsid w:val="005701C5"/>
    <w:rsid w:val="00622F7C"/>
    <w:rsid w:val="006E1279"/>
    <w:rsid w:val="006F41EA"/>
    <w:rsid w:val="00715BB0"/>
    <w:rsid w:val="007D6B90"/>
    <w:rsid w:val="007E733F"/>
    <w:rsid w:val="0084329A"/>
    <w:rsid w:val="00843E58"/>
    <w:rsid w:val="00875B81"/>
    <w:rsid w:val="008D39E1"/>
    <w:rsid w:val="00A04B62"/>
    <w:rsid w:val="00A66EE5"/>
    <w:rsid w:val="00AA5327"/>
    <w:rsid w:val="00BB4AB9"/>
    <w:rsid w:val="00C70919"/>
    <w:rsid w:val="00CC2E6E"/>
    <w:rsid w:val="00CF1E76"/>
    <w:rsid w:val="00CF68B5"/>
    <w:rsid w:val="00D13719"/>
    <w:rsid w:val="00DA7256"/>
    <w:rsid w:val="00DE3DD3"/>
    <w:rsid w:val="00F1066A"/>
    <w:rsid w:val="00F340C1"/>
    <w:rsid w:val="00F57DE6"/>
    <w:rsid w:val="00F711D4"/>
    <w:rsid w:val="00FD4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126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29A"/>
    <w:pPr>
      <w:ind w:left="720"/>
      <w:contextualSpacing/>
    </w:pPr>
  </w:style>
  <w:style w:type="character" w:customStyle="1" w:styleId="apple-converted-space">
    <w:name w:val="apple-converted-space"/>
    <w:basedOn w:val="DefaultParagraphFont"/>
    <w:rsid w:val="00715BB0"/>
  </w:style>
  <w:style w:type="paragraph" w:styleId="BalloonText">
    <w:name w:val="Balloon Text"/>
    <w:basedOn w:val="Normal"/>
    <w:link w:val="BalloonTextChar"/>
    <w:uiPriority w:val="99"/>
    <w:semiHidden/>
    <w:unhideWhenUsed/>
    <w:rsid w:val="00F340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40C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29A"/>
    <w:pPr>
      <w:ind w:left="720"/>
      <w:contextualSpacing/>
    </w:pPr>
  </w:style>
  <w:style w:type="character" w:customStyle="1" w:styleId="apple-converted-space">
    <w:name w:val="apple-converted-space"/>
    <w:basedOn w:val="DefaultParagraphFont"/>
    <w:rsid w:val="00715BB0"/>
  </w:style>
  <w:style w:type="paragraph" w:styleId="BalloonText">
    <w:name w:val="Balloon Text"/>
    <w:basedOn w:val="Normal"/>
    <w:link w:val="BalloonTextChar"/>
    <w:uiPriority w:val="99"/>
    <w:semiHidden/>
    <w:unhideWhenUsed/>
    <w:rsid w:val="00F340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40C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386469">
      <w:bodyDiv w:val="1"/>
      <w:marLeft w:val="0"/>
      <w:marRight w:val="0"/>
      <w:marTop w:val="0"/>
      <w:marBottom w:val="0"/>
      <w:divBdr>
        <w:top w:val="none" w:sz="0" w:space="0" w:color="auto"/>
        <w:left w:val="none" w:sz="0" w:space="0" w:color="auto"/>
        <w:bottom w:val="none" w:sz="0" w:space="0" w:color="auto"/>
        <w:right w:val="none" w:sz="0" w:space="0" w:color="auto"/>
      </w:divBdr>
    </w:div>
    <w:div w:id="887909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6.xml"/><Relationship Id="rId12" Type="http://schemas.openxmlformats.org/officeDocument/2006/relationships/chart" Target="charts/chart7.xml"/><Relationship Id="rId13" Type="http://schemas.openxmlformats.org/officeDocument/2006/relationships/chart" Target="charts/chart8.xml"/><Relationship Id="rId14" Type="http://schemas.openxmlformats.org/officeDocument/2006/relationships/chart" Target="charts/chart9.xml"/><Relationship Id="rId15" Type="http://schemas.openxmlformats.org/officeDocument/2006/relationships/chart" Target="charts/chart10.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chart" Target="charts/chart2.xml"/><Relationship Id="rId8" Type="http://schemas.openxmlformats.org/officeDocument/2006/relationships/chart" Target="charts/chart3.xml"/><Relationship Id="rId9" Type="http://schemas.openxmlformats.org/officeDocument/2006/relationships/chart" Target="charts/chart4.xml"/><Relationship Id="rId10"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tessapugh:Downloads:DIA%20tables%20with%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Sheet1!$B$1:$B$3</c:f>
              <c:strCache>
                <c:ptCount val="1"/>
                <c:pt idx="0">
                  <c:v>% of working week on copy Company A</c:v>
                </c:pt>
              </c:strCache>
            </c:strRef>
          </c:tx>
          <c:invertIfNegative val="0"/>
          <c:cat>
            <c:strRef>
              <c:f>Sheet1!$A$4:$A$6</c:f>
              <c:strCache>
                <c:ptCount val="3"/>
                <c:pt idx="0">
                  <c:v>Med affs</c:v>
                </c:pt>
                <c:pt idx="1">
                  <c:v>Med info</c:v>
                </c:pt>
                <c:pt idx="2">
                  <c:v>SA/MSL</c:v>
                </c:pt>
              </c:strCache>
            </c:strRef>
          </c:cat>
          <c:val>
            <c:numRef>
              <c:f>Sheet1!$B$4:$B$6</c:f>
              <c:numCache>
                <c:formatCode>General</c:formatCode>
                <c:ptCount val="3"/>
                <c:pt idx="0">
                  <c:v>38.0</c:v>
                </c:pt>
                <c:pt idx="1">
                  <c:v>0.0</c:v>
                </c:pt>
                <c:pt idx="2">
                  <c:v>42.0</c:v>
                </c:pt>
              </c:numCache>
            </c:numRef>
          </c:val>
        </c:ser>
        <c:dLbls>
          <c:showLegendKey val="0"/>
          <c:showVal val="0"/>
          <c:showCatName val="0"/>
          <c:showSerName val="0"/>
          <c:showPercent val="0"/>
          <c:showBubbleSize val="0"/>
        </c:dLbls>
        <c:gapWidth val="150"/>
        <c:axId val="2101748280"/>
        <c:axId val="2095177576"/>
      </c:barChart>
      <c:catAx>
        <c:axId val="2101748280"/>
        <c:scaling>
          <c:orientation val="minMax"/>
        </c:scaling>
        <c:delete val="0"/>
        <c:axPos val="b"/>
        <c:majorTickMark val="out"/>
        <c:minorTickMark val="none"/>
        <c:tickLblPos val="nextTo"/>
        <c:crossAx val="2095177576"/>
        <c:crosses val="autoZero"/>
        <c:auto val="1"/>
        <c:lblAlgn val="ctr"/>
        <c:lblOffset val="100"/>
        <c:noMultiLvlLbl val="0"/>
      </c:catAx>
      <c:valAx>
        <c:axId val="2095177576"/>
        <c:scaling>
          <c:orientation val="minMax"/>
        </c:scaling>
        <c:delete val="0"/>
        <c:axPos val="l"/>
        <c:majorGridlines/>
        <c:numFmt formatCode="General" sourceLinked="1"/>
        <c:majorTickMark val="out"/>
        <c:minorTickMark val="none"/>
        <c:tickLblPos val="nextTo"/>
        <c:crossAx val="21017482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2"/>
          <c:order val="0"/>
          <c:tx>
            <c:strRef>
              <c:f>Sheet1!$A$121</c:f>
              <c:strCache>
                <c:ptCount val="1"/>
                <c:pt idx="0">
                  <c:v>Missed deadlines</c:v>
                </c:pt>
              </c:strCache>
            </c:strRef>
          </c:tx>
          <c:invertIfNegative val="0"/>
          <c:cat>
            <c:strRef>
              <c:f>Sheet1!$B$118:$D$118</c:f>
              <c:strCache>
                <c:ptCount val="3"/>
                <c:pt idx="0">
                  <c:v>A</c:v>
                </c:pt>
                <c:pt idx="1">
                  <c:v>B</c:v>
                </c:pt>
                <c:pt idx="2">
                  <c:v>C</c:v>
                </c:pt>
              </c:strCache>
            </c:strRef>
          </c:cat>
          <c:val>
            <c:numRef>
              <c:f>Sheet1!$B$121:$D$121</c:f>
              <c:numCache>
                <c:formatCode>General</c:formatCode>
                <c:ptCount val="3"/>
                <c:pt idx="0">
                  <c:v>28.0</c:v>
                </c:pt>
                <c:pt idx="1">
                  <c:v>44.0</c:v>
                </c:pt>
                <c:pt idx="2">
                  <c:v>38.0</c:v>
                </c:pt>
              </c:numCache>
            </c:numRef>
          </c:val>
        </c:ser>
        <c:dLbls>
          <c:showLegendKey val="0"/>
          <c:showVal val="0"/>
          <c:showCatName val="0"/>
          <c:showSerName val="0"/>
          <c:showPercent val="0"/>
          <c:showBubbleSize val="0"/>
        </c:dLbls>
        <c:gapWidth val="150"/>
        <c:axId val="2104198744"/>
        <c:axId val="2101820248"/>
      </c:barChart>
      <c:catAx>
        <c:axId val="2104198744"/>
        <c:scaling>
          <c:orientation val="minMax"/>
        </c:scaling>
        <c:delete val="0"/>
        <c:axPos val="b"/>
        <c:majorTickMark val="out"/>
        <c:minorTickMark val="none"/>
        <c:tickLblPos val="nextTo"/>
        <c:crossAx val="2101820248"/>
        <c:crosses val="autoZero"/>
        <c:auto val="1"/>
        <c:lblAlgn val="ctr"/>
        <c:lblOffset val="100"/>
        <c:noMultiLvlLbl val="0"/>
      </c:catAx>
      <c:valAx>
        <c:axId val="2101820248"/>
        <c:scaling>
          <c:orientation val="minMax"/>
        </c:scaling>
        <c:delete val="0"/>
        <c:axPos val="l"/>
        <c:majorGridlines/>
        <c:numFmt formatCode="General" sourceLinked="1"/>
        <c:majorTickMark val="out"/>
        <c:minorTickMark val="none"/>
        <c:tickLblPos val="nextTo"/>
        <c:crossAx val="210419874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1"/>
          <c:order val="0"/>
          <c:tx>
            <c:strRef>
              <c:f>Sheet1!$C$1:$C$3</c:f>
              <c:strCache>
                <c:ptCount val="1"/>
                <c:pt idx="0">
                  <c:v>% of working week on copy Company B</c:v>
                </c:pt>
              </c:strCache>
            </c:strRef>
          </c:tx>
          <c:invertIfNegative val="0"/>
          <c:cat>
            <c:strRef>
              <c:f>Sheet1!$A$4:$A$6</c:f>
              <c:strCache>
                <c:ptCount val="3"/>
                <c:pt idx="0">
                  <c:v>Med affs</c:v>
                </c:pt>
                <c:pt idx="1">
                  <c:v>Med info</c:v>
                </c:pt>
                <c:pt idx="2">
                  <c:v>SA/MSL</c:v>
                </c:pt>
              </c:strCache>
            </c:strRef>
          </c:cat>
          <c:val>
            <c:numRef>
              <c:f>Sheet1!$C$4:$C$6</c:f>
              <c:numCache>
                <c:formatCode>General</c:formatCode>
                <c:ptCount val="3"/>
                <c:pt idx="0">
                  <c:v>44.0</c:v>
                </c:pt>
                <c:pt idx="1">
                  <c:v>48.0</c:v>
                </c:pt>
                <c:pt idx="2">
                  <c:v>26.0</c:v>
                </c:pt>
              </c:numCache>
            </c:numRef>
          </c:val>
        </c:ser>
        <c:dLbls>
          <c:showLegendKey val="0"/>
          <c:showVal val="0"/>
          <c:showCatName val="0"/>
          <c:showSerName val="0"/>
          <c:showPercent val="0"/>
          <c:showBubbleSize val="0"/>
        </c:dLbls>
        <c:gapWidth val="150"/>
        <c:axId val="2096296616"/>
        <c:axId val="2094966200"/>
      </c:barChart>
      <c:catAx>
        <c:axId val="2096296616"/>
        <c:scaling>
          <c:orientation val="minMax"/>
        </c:scaling>
        <c:delete val="0"/>
        <c:axPos val="b"/>
        <c:majorTickMark val="out"/>
        <c:minorTickMark val="none"/>
        <c:tickLblPos val="nextTo"/>
        <c:crossAx val="2094966200"/>
        <c:crosses val="autoZero"/>
        <c:auto val="1"/>
        <c:lblAlgn val="ctr"/>
        <c:lblOffset val="100"/>
        <c:noMultiLvlLbl val="0"/>
      </c:catAx>
      <c:valAx>
        <c:axId val="2094966200"/>
        <c:scaling>
          <c:orientation val="minMax"/>
        </c:scaling>
        <c:delete val="0"/>
        <c:axPos val="l"/>
        <c:majorGridlines/>
        <c:numFmt formatCode="General" sourceLinked="1"/>
        <c:majorTickMark val="out"/>
        <c:minorTickMark val="none"/>
        <c:tickLblPos val="nextTo"/>
        <c:crossAx val="20962966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2"/>
          <c:order val="0"/>
          <c:tx>
            <c:strRef>
              <c:f>Sheet1!$D$1:$D$3</c:f>
              <c:strCache>
                <c:ptCount val="1"/>
                <c:pt idx="0">
                  <c:v>% of working week on copy Company C</c:v>
                </c:pt>
              </c:strCache>
            </c:strRef>
          </c:tx>
          <c:invertIfNegative val="0"/>
          <c:cat>
            <c:strRef>
              <c:f>Sheet1!$A$4:$A$6</c:f>
              <c:strCache>
                <c:ptCount val="3"/>
                <c:pt idx="0">
                  <c:v>Med affs</c:v>
                </c:pt>
                <c:pt idx="1">
                  <c:v>Med info</c:v>
                </c:pt>
                <c:pt idx="2">
                  <c:v>SA/MSL</c:v>
                </c:pt>
              </c:strCache>
            </c:strRef>
          </c:cat>
          <c:val>
            <c:numRef>
              <c:f>Sheet1!$D$4:$D$6</c:f>
              <c:numCache>
                <c:formatCode>General</c:formatCode>
                <c:ptCount val="3"/>
                <c:pt idx="0">
                  <c:v>42.0</c:v>
                </c:pt>
                <c:pt idx="1">
                  <c:v>65.0</c:v>
                </c:pt>
                <c:pt idx="2">
                  <c:v>0.0</c:v>
                </c:pt>
              </c:numCache>
            </c:numRef>
          </c:val>
        </c:ser>
        <c:dLbls>
          <c:showLegendKey val="0"/>
          <c:showVal val="0"/>
          <c:showCatName val="0"/>
          <c:showSerName val="0"/>
          <c:showPercent val="0"/>
          <c:showBubbleSize val="0"/>
        </c:dLbls>
        <c:gapWidth val="150"/>
        <c:axId val="2103973336"/>
        <c:axId val="2103223544"/>
      </c:barChart>
      <c:catAx>
        <c:axId val="2103973336"/>
        <c:scaling>
          <c:orientation val="minMax"/>
        </c:scaling>
        <c:delete val="0"/>
        <c:axPos val="b"/>
        <c:majorTickMark val="out"/>
        <c:minorTickMark val="none"/>
        <c:tickLblPos val="nextTo"/>
        <c:crossAx val="2103223544"/>
        <c:crosses val="autoZero"/>
        <c:auto val="1"/>
        <c:lblAlgn val="ctr"/>
        <c:lblOffset val="100"/>
        <c:noMultiLvlLbl val="0"/>
      </c:catAx>
      <c:valAx>
        <c:axId val="2103223544"/>
        <c:scaling>
          <c:orientation val="minMax"/>
        </c:scaling>
        <c:delete val="0"/>
        <c:axPos val="l"/>
        <c:majorGridlines/>
        <c:numFmt formatCode="General" sourceLinked="1"/>
        <c:majorTickMark val="out"/>
        <c:minorTickMark val="none"/>
        <c:tickLblPos val="nextTo"/>
        <c:crossAx val="21039733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pieChart>
        <c:varyColors val="1"/>
        <c:ser>
          <c:idx val="0"/>
          <c:order val="0"/>
          <c:tx>
            <c:strRef>
              <c:f>Sheet1!$B$39:$B$40</c:f>
              <c:strCache>
                <c:ptCount val="1"/>
                <c:pt idx="0">
                  <c:v>% of copy time x activity, all MA %</c:v>
                </c:pt>
              </c:strCache>
            </c:strRef>
          </c:tx>
          <c:cat>
            <c:strRef>
              <c:f>Sheet1!$A$41:$A$44</c:f>
              <c:strCache>
                <c:ptCount val="4"/>
                <c:pt idx="0">
                  <c:v>Statemetns and claims</c:v>
                </c:pt>
                <c:pt idx="1">
                  <c:v>Meetings</c:v>
                </c:pt>
                <c:pt idx="2">
                  <c:v>Compiling</c:v>
                </c:pt>
                <c:pt idx="3">
                  <c:v>Commissioning</c:v>
                </c:pt>
              </c:strCache>
            </c:strRef>
          </c:cat>
          <c:val>
            <c:numRef>
              <c:f>Sheet1!$B$41:$B$44</c:f>
              <c:numCache>
                <c:formatCode>General</c:formatCode>
                <c:ptCount val="4"/>
                <c:pt idx="0">
                  <c:v>52.0</c:v>
                </c:pt>
                <c:pt idx="1">
                  <c:v>28.0</c:v>
                </c:pt>
                <c:pt idx="2">
                  <c:v>8.0</c:v>
                </c:pt>
                <c:pt idx="3">
                  <c:v>8.0</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0"/>
          <c:order val="0"/>
          <c:tx>
            <c:strRef>
              <c:f>Sheet1!$B$63:$B$64</c:f>
              <c:strCache>
                <c:ptCount val="1"/>
                <c:pt idx="0">
                  <c:v>% jobs needing extra rounds %</c:v>
                </c:pt>
              </c:strCache>
            </c:strRef>
          </c:tx>
          <c:invertIfNegative val="0"/>
          <c:cat>
            <c:strRef>
              <c:f>Sheet1!$A$65:$A$67</c:f>
              <c:strCache>
                <c:ptCount val="3"/>
                <c:pt idx="0">
                  <c:v>A</c:v>
                </c:pt>
                <c:pt idx="1">
                  <c:v>B</c:v>
                </c:pt>
                <c:pt idx="2">
                  <c:v>C</c:v>
                </c:pt>
              </c:strCache>
            </c:strRef>
          </c:cat>
          <c:val>
            <c:numRef>
              <c:f>Sheet1!$B$65:$B$67</c:f>
              <c:numCache>
                <c:formatCode>General</c:formatCode>
                <c:ptCount val="3"/>
                <c:pt idx="0">
                  <c:v>53.0</c:v>
                </c:pt>
                <c:pt idx="1">
                  <c:v>45.0</c:v>
                </c:pt>
                <c:pt idx="2">
                  <c:v>32.0</c:v>
                </c:pt>
              </c:numCache>
            </c:numRef>
          </c:val>
        </c:ser>
        <c:dLbls>
          <c:showLegendKey val="0"/>
          <c:showVal val="0"/>
          <c:showCatName val="0"/>
          <c:showSerName val="0"/>
          <c:showPercent val="0"/>
          <c:showBubbleSize val="0"/>
        </c:dLbls>
        <c:gapWidth val="150"/>
        <c:axId val="2096865272"/>
        <c:axId val="2095422344"/>
      </c:barChart>
      <c:catAx>
        <c:axId val="2096865272"/>
        <c:scaling>
          <c:orientation val="minMax"/>
        </c:scaling>
        <c:delete val="0"/>
        <c:axPos val="b"/>
        <c:majorTickMark val="out"/>
        <c:minorTickMark val="none"/>
        <c:tickLblPos val="nextTo"/>
        <c:crossAx val="2095422344"/>
        <c:crosses val="autoZero"/>
        <c:auto val="1"/>
        <c:lblAlgn val="ctr"/>
        <c:lblOffset val="100"/>
        <c:noMultiLvlLbl val="0"/>
      </c:catAx>
      <c:valAx>
        <c:axId val="2095422344"/>
        <c:scaling>
          <c:orientation val="minMax"/>
        </c:scaling>
        <c:delete val="0"/>
        <c:axPos val="l"/>
        <c:majorGridlines/>
        <c:numFmt formatCode="General" sourceLinked="1"/>
        <c:majorTickMark val="out"/>
        <c:minorTickMark val="none"/>
        <c:tickLblPos val="nextTo"/>
        <c:crossAx val="209686527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0"/>
          <c:order val="0"/>
          <c:tx>
            <c:strRef>
              <c:f>Sheet1!$A$86</c:f>
              <c:strCache>
                <c:ptCount val="1"/>
                <c:pt idx="0">
                  <c:v>Phys</c:v>
                </c:pt>
              </c:strCache>
            </c:strRef>
          </c:tx>
          <c:invertIfNegative val="0"/>
          <c:cat>
            <c:multiLvlStrRef>
              <c:f>Sheet1!$B$82:$D$85</c:f>
              <c:multiLvlStrCache>
                <c:ptCount val="3"/>
                <c:lvl>
                  <c:pt idx="0">
                    <c:v>A</c:v>
                  </c:pt>
                  <c:pt idx="1">
                    <c:v>B</c:v>
                  </c:pt>
                  <c:pt idx="2">
                    <c:v>C</c:v>
                  </c:pt>
                </c:lvl>
                <c:lvl>
                  <c:pt idx="0">
                    <c:v>Company</c:v>
                  </c:pt>
                </c:lvl>
              </c:multiLvlStrCache>
            </c:multiLvlStrRef>
          </c:cat>
          <c:val>
            <c:numRef>
              <c:f>Sheet1!$B$86:$D$86</c:f>
              <c:numCache>
                <c:formatCode>General</c:formatCode>
                <c:ptCount val="3"/>
                <c:pt idx="0">
                  <c:v>6.0</c:v>
                </c:pt>
                <c:pt idx="1">
                  <c:v>8.0</c:v>
                </c:pt>
                <c:pt idx="2">
                  <c:v>5.0</c:v>
                </c:pt>
              </c:numCache>
            </c:numRef>
          </c:val>
        </c:ser>
        <c:dLbls>
          <c:showLegendKey val="0"/>
          <c:showVal val="0"/>
          <c:showCatName val="0"/>
          <c:showSerName val="0"/>
          <c:showPercent val="0"/>
          <c:showBubbleSize val="0"/>
        </c:dLbls>
        <c:gapWidth val="150"/>
        <c:axId val="2094720280"/>
        <c:axId val="2103558984"/>
      </c:barChart>
      <c:catAx>
        <c:axId val="2094720280"/>
        <c:scaling>
          <c:orientation val="minMax"/>
        </c:scaling>
        <c:delete val="0"/>
        <c:axPos val="b"/>
        <c:majorTickMark val="out"/>
        <c:minorTickMark val="none"/>
        <c:tickLblPos val="nextTo"/>
        <c:crossAx val="2103558984"/>
        <c:crosses val="autoZero"/>
        <c:auto val="1"/>
        <c:lblAlgn val="ctr"/>
        <c:lblOffset val="100"/>
        <c:noMultiLvlLbl val="0"/>
      </c:catAx>
      <c:valAx>
        <c:axId val="2103558984"/>
        <c:scaling>
          <c:orientation val="minMax"/>
        </c:scaling>
        <c:delete val="0"/>
        <c:axPos val="l"/>
        <c:majorGridlines/>
        <c:numFmt formatCode="General" sourceLinked="1"/>
        <c:majorTickMark val="out"/>
        <c:minorTickMark val="none"/>
        <c:tickLblPos val="nextTo"/>
        <c:crossAx val="20947202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2"/>
          <c:order val="0"/>
          <c:tx>
            <c:strRef>
              <c:f>Sheet1!$A$88</c:f>
              <c:strCache>
                <c:ptCount val="1"/>
                <c:pt idx="0">
                  <c:v>SA/MSL</c:v>
                </c:pt>
              </c:strCache>
            </c:strRef>
          </c:tx>
          <c:invertIfNegative val="0"/>
          <c:cat>
            <c:multiLvlStrRef>
              <c:f>Sheet1!$B$82:$D$85</c:f>
              <c:multiLvlStrCache>
                <c:ptCount val="3"/>
                <c:lvl>
                  <c:pt idx="0">
                    <c:v>A</c:v>
                  </c:pt>
                  <c:pt idx="1">
                    <c:v>B</c:v>
                  </c:pt>
                  <c:pt idx="2">
                    <c:v>C</c:v>
                  </c:pt>
                </c:lvl>
                <c:lvl>
                  <c:pt idx="0">
                    <c:v>Company</c:v>
                  </c:pt>
                </c:lvl>
              </c:multiLvlStrCache>
            </c:multiLvlStrRef>
          </c:cat>
          <c:val>
            <c:numRef>
              <c:f>Sheet1!$B$88:$D$88</c:f>
              <c:numCache>
                <c:formatCode>General</c:formatCode>
                <c:ptCount val="3"/>
                <c:pt idx="0">
                  <c:v>8.0</c:v>
                </c:pt>
                <c:pt idx="1">
                  <c:v>7.0</c:v>
                </c:pt>
                <c:pt idx="2">
                  <c:v>0.0</c:v>
                </c:pt>
              </c:numCache>
            </c:numRef>
          </c:val>
        </c:ser>
        <c:dLbls>
          <c:showLegendKey val="0"/>
          <c:showVal val="0"/>
          <c:showCatName val="0"/>
          <c:showSerName val="0"/>
          <c:showPercent val="0"/>
          <c:showBubbleSize val="0"/>
        </c:dLbls>
        <c:gapWidth val="150"/>
        <c:axId val="2103403640"/>
        <c:axId val="2104288568"/>
      </c:barChart>
      <c:catAx>
        <c:axId val="2103403640"/>
        <c:scaling>
          <c:orientation val="minMax"/>
        </c:scaling>
        <c:delete val="0"/>
        <c:axPos val="b"/>
        <c:majorTickMark val="out"/>
        <c:minorTickMark val="none"/>
        <c:tickLblPos val="nextTo"/>
        <c:crossAx val="2104288568"/>
        <c:crosses val="autoZero"/>
        <c:auto val="1"/>
        <c:lblAlgn val="ctr"/>
        <c:lblOffset val="100"/>
        <c:noMultiLvlLbl val="0"/>
      </c:catAx>
      <c:valAx>
        <c:axId val="2104288568"/>
        <c:scaling>
          <c:orientation val="minMax"/>
        </c:scaling>
        <c:delete val="0"/>
        <c:axPos val="l"/>
        <c:majorGridlines/>
        <c:numFmt formatCode="General" sourceLinked="1"/>
        <c:majorTickMark val="out"/>
        <c:minorTickMark val="none"/>
        <c:tickLblPos val="nextTo"/>
        <c:crossAx val="210340364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1"/>
          <c:order val="0"/>
          <c:tx>
            <c:strRef>
              <c:f>Sheet1!$A$87</c:f>
              <c:strCache>
                <c:ptCount val="1"/>
                <c:pt idx="0">
                  <c:v>Med info</c:v>
                </c:pt>
              </c:strCache>
            </c:strRef>
          </c:tx>
          <c:invertIfNegative val="0"/>
          <c:cat>
            <c:multiLvlStrRef>
              <c:f>Sheet1!$B$84:$D$85</c:f>
              <c:multiLvlStrCache>
                <c:ptCount val="3"/>
                <c:lvl>
                  <c:pt idx="0">
                    <c:v>A</c:v>
                  </c:pt>
                  <c:pt idx="1">
                    <c:v>B</c:v>
                  </c:pt>
                  <c:pt idx="2">
                    <c:v>C</c:v>
                  </c:pt>
                </c:lvl>
                <c:lvl>
                  <c:pt idx="0">
                    <c:v>Company</c:v>
                  </c:pt>
                </c:lvl>
              </c:multiLvlStrCache>
            </c:multiLvlStrRef>
          </c:cat>
          <c:val>
            <c:numRef>
              <c:f>Sheet1!$B$87:$D$87</c:f>
              <c:numCache>
                <c:formatCode>General</c:formatCode>
                <c:ptCount val="3"/>
                <c:pt idx="0">
                  <c:v>0.0</c:v>
                </c:pt>
                <c:pt idx="1">
                  <c:v>12.0</c:v>
                </c:pt>
                <c:pt idx="2">
                  <c:v>15.0</c:v>
                </c:pt>
              </c:numCache>
            </c:numRef>
          </c:val>
        </c:ser>
        <c:dLbls>
          <c:showLegendKey val="0"/>
          <c:showVal val="0"/>
          <c:showCatName val="0"/>
          <c:showSerName val="0"/>
          <c:showPercent val="0"/>
          <c:showBubbleSize val="0"/>
        </c:dLbls>
        <c:gapWidth val="150"/>
        <c:axId val="2104168008"/>
        <c:axId val="2104311496"/>
      </c:barChart>
      <c:catAx>
        <c:axId val="2104168008"/>
        <c:scaling>
          <c:orientation val="minMax"/>
        </c:scaling>
        <c:delete val="0"/>
        <c:axPos val="b"/>
        <c:majorTickMark val="out"/>
        <c:minorTickMark val="none"/>
        <c:tickLblPos val="nextTo"/>
        <c:crossAx val="2104311496"/>
        <c:crosses val="autoZero"/>
        <c:auto val="1"/>
        <c:lblAlgn val="ctr"/>
        <c:lblOffset val="100"/>
        <c:noMultiLvlLbl val="0"/>
      </c:catAx>
      <c:valAx>
        <c:axId val="2104311496"/>
        <c:scaling>
          <c:orientation val="minMax"/>
        </c:scaling>
        <c:delete val="0"/>
        <c:axPos val="l"/>
        <c:majorGridlines/>
        <c:numFmt formatCode="General" sourceLinked="1"/>
        <c:majorTickMark val="out"/>
        <c:minorTickMark val="none"/>
        <c:tickLblPos val="nextTo"/>
        <c:crossAx val="210416800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barChart>
        <c:barDir val="col"/>
        <c:grouping val="clustered"/>
        <c:varyColors val="0"/>
        <c:ser>
          <c:idx val="0"/>
          <c:order val="0"/>
          <c:tx>
            <c:strRef>
              <c:f>Sheet1!$A$119</c:f>
              <c:strCache>
                <c:ptCount val="1"/>
                <c:pt idx="0">
                  <c:v>Friction</c:v>
                </c:pt>
              </c:strCache>
            </c:strRef>
          </c:tx>
          <c:invertIfNegative val="0"/>
          <c:cat>
            <c:strRef>
              <c:f>Sheet1!$B$117:$D$118</c:f>
              <c:strCache>
                <c:ptCount val="3"/>
                <c:pt idx="0">
                  <c:v>A</c:v>
                </c:pt>
                <c:pt idx="1">
                  <c:v>B</c:v>
                </c:pt>
                <c:pt idx="2">
                  <c:v>C</c:v>
                </c:pt>
              </c:strCache>
            </c:strRef>
          </c:cat>
          <c:val>
            <c:numRef>
              <c:f>Sheet1!$B$119:$D$119</c:f>
              <c:numCache>
                <c:formatCode>General</c:formatCode>
                <c:ptCount val="3"/>
                <c:pt idx="0">
                  <c:v>68.0</c:v>
                </c:pt>
                <c:pt idx="1">
                  <c:v>82.0</c:v>
                </c:pt>
                <c:pt idx="2">
                  <c:v>75.0</c:v>
                </c:pt>
              </c:numCache>
            </c:numRef>
          </c:val>
        </c:ser>
        <c:dLbls>
          <c:showLegendKey val="0"/>
          <c:showVal val="0"/>
          <c:showCatName val="0"/>
          <c:showSerName val="0"/>
          <c:showPercent val="0"/>
          <c:showBubbleSize val="0"/>
        </c:dLbls>
        <c:gapWidth val="150"/>
        <c:axId val="2103125224"/>
        <c:axId val="2123689272"/>
      </c:barChart>
      <c:catAx>
        <c:axId val="2103125224"/>
        <c:scaling>
          <c:orientation val="minMax"/>
        </c:scaling>
        <c:delete val="0"/>
        <c:axPos val="b"/>
        <c:majorTickMark val="out"/>
        <c:minorTickMark val="none"/>
        <c:tickLblPos val="nextTo"/>
        <c:crossAx val="2123689272"/>
        <c:crosses val="autoZero"/>
        <c:auto val="1"/>
        <c:lblAlgn val="ctr"/>
        <c:lblOffset val="100"/>
        <c:noMultiLvlLbl val="0"/>
      </c:catAx>
      <c:valAx>
        <c:axId val="2123689272"/>
        <c:scaling>
          <c:orientation val="minMax"/>
        </c:scaling>
        <c:delete val="0"/>
        <c:axPos val="l"/>
        <c:majorGridlines/>
        <c:numFmt formatCode="General" sourceLinked="1"/>
        <c:majorTickMark val="out"/>
        <c:minorTickMark val="none"/>
        <c:tickLblPos val="nextTo"/>
        <c:crossAx val="210312522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879</Words>
  <Characters>5016</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Carter</dc:creator>
  <cp:keywords/>
  <dc:description/>
  <cp:lastModifiedBy>PharmaReview</cp:lastModifiedBy>
  <cp:revision>3</cp:revision>
  <dcterms:created xsi:type="dcterms:W3CDTF">2014-09-15T14:04:00Z</dcterms:created>
  <dcterms:modified xsi:type="dcterms:W3CDTF">2014-09-15T14:26:00Z</dcterms:modified>
</cp:coreProperties>
</file>