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B9" w:rsidRDefault="000736B9" w:rsidP="00017F82">
      <w:pPr>
        <w:shd w:val="clear" w:color="auto" w:fill="FFFFFF"/>
        <w:spacing w:after="300" w:line="300" w:lineRule="atLeast"/>
        <w:rPr>
          <w:rFonts w:ascii="Arial" w:eastAsia="Times New Roman" w:hAnsi="Arial" w:cs="Arial"/>
          <w:b/>
          <w:bCs/>
          <w:color w:val="747474"/>
          <w:sz w:val="20"/>
          <w:szCs w:val="20"/>
          <w:lang w:val="en-US" w:eastAsia="nl-NL"/>
        </w:rPr>
      </w:pPr>
      <w:r>
        <w:rPr>
          <w:rFonts w:ascii="Arial" w:eastAsia="Times New Roman" w:hAnsi="Arial" w:cs="Arial"/>
          <w:b/>
          <w:bCs/>
          <w:color w:val="747474"/>
          <w:sz w:val="20"/>
          <w:szCs w:val="20"/>
          <w:lang w:val="en-US" w:eastAsia="nl-NL"/>
        </w:rPr>
        <w:t>END-TO-END COSTING</w:t>
      </w:r>
      <w:bookmarkStart w:id="0" w:name="_GoBack"/>
      <w:bookmarkEnd w:id="0"/>
    </w:p>
    <w:p w:rsidR="00AC50FD" w:rsidRPr="00967EDA" w:rsidRDefault="000736B9" w:rsidP="00017F82">
      <w:pPr>
        <w:shd w:val="clear" w:color="auto" w:fill="FFFFFF"/>
        <w:spacing w:after="300" w:line="300" w:lineRule="atLeast"/>
        <w:rPr>
          <w:rFonts w:ascii="Arial" w:eastAsia="Times New Roman" w:hAnsi="Arial" w:cs="Arial"/>
          <w:color w:val="747474"/>
          <w:sz w:val="20"/>
          <w:szCs w:val="20"/>
          <w:lang w:val="en-US" w:eastAsia="nl-NL"/>
        </w:rPr>
      </w:pPr>
      <w:r>
        <w:rPr>
          <w:rFonts w:ascii="Arial" w:eastAsia="Times New Roman" w:hAnsi="Arial" w:cs="Arial"/>
          <w:b/>
          <w:bCs/>
          <w:color w:val="747474"/>
          <w:sz w:val="20"/>
          <w:szCs w:val="20"/>
          <w:lang w:val="en-US" w:eastAsia="nl-NL"/>
        </w:rPr>
        <w:t>Theory</w:t>
      </w:r>
      <w:r w:rsidR="00017F82">
        <w:rPr>
          <w:rFonts w:ascii="Arial" w:eastAsia="Times New Roman" w:hAnsi="Arial" w:cs="Arial"/>
          <w:b/>
          <w:bCs/>
          <w:color w:val="747474"/>
          <w:sz w:val="20"/>
          <w:szCs w:val="20"/>
          <w:lang w:val="en-US" w:eastAsia="nl-NL"/>
        </w:rPr>
        <w:br/>
      </w:r>
      <w:r w:rsidR="00AC50FD" w:rsidRPr="00967EDA">
        <w:rPr>
          <w:rFonts w:ascii="Arial" w:eastAsia="Times New Roman" w:hAnsi="Arial" w:cs="Arial"/>
          <w:color w:val="747474"/>
          <w:sz w:val="20"/>
          <w:szCs w:val="20"/>
          <w:lang w:val="en-US" w:eastAsia="nl-NL"/>
        </w:rPr>
        <w:t>Because of the size, diversity and constant change of the Ricoh supply chain it is not easy to understand and map costs to individual logistics networks. The shared logistic responsibility between the Ricoh sales companies and the supply chain organization causes additional complexity.</w:t>
      </w:r>
    </w:p>
    <w:p w:rsidR="00AC50FD" w:rsidRPr="00967EDA" w:rsidRDefault="00AC50FD" w:rsidP="00BA6D36">
      <w:pPr>
        <w:shd w:val="clear" w:color="auto" w:fill="FFFFFF"/>
        <w:spacing w:after="300"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While more and more logistic activities are centralized and short-term interests vary among sales companies, it remains a delicate issue to work on a European “SCM cost control” model. Additionally the Ricoh sales companies have their own logistic solutions and a corresponding ERP system. Finally, the constant hustle and bustle in the operation causes insufficient priority for an integrated approach to cost control.</w:t>
      </w:r>
    </w:p>
    <w:p w:rsidR="00AC50FD" w:rsidRPr="00967EDA" w:rsidRDefault="000736B9" w:rsidP="00017F82">
      <w:pPr>
        <w:shd w:val="clear" w:color="auto" w:fill="FFFFFF"/>
        <w:spacing w:after="300" w:line="300" w:lineRule="atLeast"/>
        <w:rPr>
          <w:rFonts w:ascii="Arial" w:eastAsia="Times New Roman" w:hAnsi="Arial" w:cs="Arial"/>
          <w:color w:val="747474"/>
          <w:sz w:val="20"/>
          <w:szCs w:val="20"/>
          <w:lang w:val="en-US" w:eastAsia="nl-NL"/>
        </w:rPr>
      </w:pPr>
      <w:r>
        <w:rPr>
          <w:rFonts w:ascii="Arial" w:eastAsia="Times New Roman" w:hAnsi="Arial" w:cs="Arial"/>
          <w:b/>
          <w:bCs/>
          <w:color w:val="747474"/>
          <w:sz w:val="20"/>
          <w:szCs w:val="20"/>
          <w:lang w:val="en-US" w:eastAsia="nl-NL"/>
        </w:rPr>
        <w:t xml:space="preserve">Ricoh </w:t>
      </w:r>
      <w:r w:rsidR="00AC50FD" w:rsidRPr="00967EDA">
        <w:rPr>
          <w:rFonts w:ascii="Arial" w:eastAsia="Times New Roman" w:hAnsi="Arial" w:cs="Arial"/>
          <w:b/>
          <w:bCs/>
          <w:color w:val="747474"/>
          <w:sz w:val="20"/>
          <w:szCs w:val="20"/>
          <w:lang w:val="en-US" w:eastAsia="nl-NL"/>
        </w:rPr>
        <w:t>Project Approach</w:t>
      </w:r>
      <w:r w:rsidR="00017F82">
        <w:rPr>
          <w:rFonts w:ascii="Arial" w:eastAsia="Times New Roman" w:hAnsi="Arial" w:cs="Arial"/>
          <w:color w:val="747474"/>
          <w:sz w:val="20"/>
          <w:szCs w:val="20"/>
          <w:lang w:val="en-US" w:eastAsia="nl-NL"/>
        </w:rPr>
        <w:br/>
      </w:r>
      <w:proofErr w:type="gramStart"/>
      <w:r w:rsidR="00AC50FD" w:rsidRPr="00967EDA">
        <w:rPr>
          <w:rFonts w:ascii="Arial" w:eastAsia="Times New Roman" w:hAnsi="Arial" w:cs="Arial"/>
          <w:color w:val="747474"/>
          <w:sz w:val="20"/>
          <w:szCs w:val="20"/>
          <w:lang w:val="en-US" w:eastAsia="nl-NL"/>
        </w:rPr>
        <w:t>The</w:t>
      </w:r>
      <w:proofErr w:type="gramEnd"/>
      <w:r w:rsidR="00AC50FD" w:rsidRPr="00967EDA">
        <w:rPr>
          <w:rFonts w:ascii="Arial" w:eastAsia="Times New Roman" w:hAnsi="Arial" w:cs="Arial"/>
          <w:color w:val="747474"/>
          <w:sz w:val="20"/>
          <w:szCs w:val="20"/>
          <w:lang w:val="en-US" w:eastAsia="nl-NL"/>
        </w:rPr>
        <w:t xml:space="preserve"> introduction of a logistics costs reporting system for all Ricoh organizations in the EMEA region, lead to more attention for costs in the various logistic networks. </w:t>
      </w:r>
    </w:p>
    <w:tbl>
      <w:tblPr>
        <w:tblStyle w:val="TableGrid"/>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919"/>
      </w:tblGrid>
      <w:tr w:rsidR="00AC50FD" w:rsidTr="00BA6D36">
        <w:tc>
          <w:tcPr>
            <w:tcW w:w="4503" w:type="dxa"/>
          </w:tcPr>
          <w:p w:rsidR="00BA6D36" w:rsidRDefault="00BA6D36" w:rsidP="00BA6D36">
            <w:pPr>
              <w:spacing w:after="300"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In a pilot group, with a limited number of parties, a first draft was made for a comprehensive “SCM cost control model”. This created strategic support for the further roll-out.</w:t>
            </w:r>
          </w:p>
          <w:p w:rsidR="00AC50FD" w:rsidRDefault="00AC50FD" w:rsidP="00BA6D36">
            <w:pPr>
              <w:spacing w:after="300"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Linking information from financial systems with information from transport and warehouse systems was a prerequisite for reliable management information.</w:t>
            </w:r>
          </w:p>
        </w:tc>
        <w:tc>
          <w:tcPr>
            <w:tcW w:w="5919" w:type="dxa"/>
          </w:tcPr>
          <w:p w:rsidR="00AC50FD" w:rsidRDefault="00BA6D36" w:rsidP="00BA6D36">
            <w:pPr>
              <w:shd w:val="clear" w:color="auto" w:fill="FFFFFF"/>
              <w:spacing w:before="100" w:beforeAutospacing="1" w:after="100" w:afterAutospacing="1" w:line="300" w:lineRule="atLeast"/>
              <w:ind w:left="175"/>
              <w:rPr>
                <w:rFonts w:ascii="Arial" w:eastAsia="Times New Roman" w:hAnsi="Arial" w:cs="Arial"/>
                <w:color w:val="747474"/>
                <w:sz w:val="20"/>
                <w:szCs w:val="20"/>
                <w:lang w:val="en-US" w:eastAsia="nl-NL"/>
              </w:rPr>
            </w:pPr>
            <w:r w:rsidRPr="006A438D">
              <w:rPr>
                <w:rFonts w:ascii="Arial" w:eastAsia="Times New Roman" w:hAnsi="Arial" w:cs="Arial"/>
                <w:noProof/>
                <w:color w:val="747474"/>
                <w:sz w:val="20"/>
                <w:szCs w:val="20"/>
                <w:lang w:val="en-GB" w:eastAsia="nl-NL"/>
              </w:rPr>
              <w:br/>
            </w:r>
            <w:r w:rsidR="00AC50FD" w:rsidRPr="00AC50FD">
              <w:rPr>
                <w:rFonts w:ascii="Arial" w:eastAsia="Times New Roman" w:hAnsi="Arial" w:cs="Arial"/>
                <w:noProof/>
                <w:color w:val="747474"/>
                <w:sz w:val="20"/>
                <w:szCs w:val="20"/>
                <w:lang w:eastAsia="nl-NL"/>
              </w:rPr>
              <w:drawing>
                <wp:inline distT="0" distB="0" distL="0" distR="0" wp14:anchorId="67C51616" wp14:editId="0EED2615">
                  <wp:extent cx="2849703" cy="1390650"/>
                  <wp:effectExtent l="0" t="0" r="8255" b="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9252" cy="1395310"/>
                          </a:xfrm>
                          <a:prstGeom prst="rect">
                            <a:avLst/>
                          </a:prstGeom>
                          <a:noFill/>
                          <a:ln>
                            <a:noFill/>
                          </a:ln>
                          <a:effectLst/>
                          <a:extLst/>
                        </pic:spPr>
                      </pic:pic>
                    </a:graphicData>
                  </a:graphic>
                </wp:inline>
              </w:drawing>
            </w:r>
          </w:p>
        </w:tc>
      </w:tr>
    </w:tbl>
    <w:p w:rsidR="00AC50FD" w:rsidRPr="00967EDA" w:rsidRDefault="00AC50FD" w:rsidP="00BA6D36">
      <w:pPr>
        <w:shd w:val="clear" w:color="auto" w:fill="FFFFFF"/>
        <w:spacing w:after="300"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Accuracy and completeness are crucial when calculating logistic cost prices. This covers the cost in the general ledger, the number of orders and order lines from the warehouse systems and the weight and volume from transport systems.</w:t>
      </w:r>
    </w:p>
    <w:p w:rsidR="00AC50FD" w:rsidRDefault="00AC50FD" w:rsidP="00BA6D36">
      <w:pPr>
        <w:shd w:val="clear" w:color="auto" w:fill="FFFFFF"/>
        <w:spacing w:after="300"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With the help of a visual representation of the logistic networks, we have identified “cost drivers” per network and per product. We distinguish between fixed and variable elements of inventory, transportation, warehousing and overhead costs. A proper balance between activity- based costing principles and traditional cost accounting methods is the basis of a solid “SCM cost control”.</w:t>
      </w:r>
    </w:p>
    <w:p w:rsidR="00AC50FD" w:rsidRDefault="000736B9" w:rsidP="00017F82">
      <w:pPr>
        <w:shd w:val="clear" w:color="auto" w:fill="FFFFFF"/>
        <w:spacing w:after="300" w:line="300" w:lineRule="atLeast"/>
        <w:rPr>
          <w:rFonts w:ascii="Arial" w:eastAsia="Times New Roman" w:hAnsi="Arial" w:cs="Arial"/>
          <w:color w:val="747474"/>
          <w:sz w:val="20"/>
          <w:szCs w:val="20"/>
          <w:lang w:val="en-US" w:eastAsia="nl-NL"/>
        </w:rPr>
      </w:pPr>
      <w:r>
        <w:rPr>
          <w:rFonts w:ascii="Arial" w:eastAsia="Times New Roman" w:hAnsi="Arial" w:cs="Arial"/>
          <w:b/>
          <w:bCs/>
          <w:color w:val="747474"/>
          <w:sz w:val="20"/>
          <w:szCs w:val="20"/>
          <w:lang w:val="en-US" w:eastAsia="nl-NL"/>
        </w:rPr>
        <w:t>R</w:t>
      </w:r>
      <w:r w:rsidR="00AC50FD" w:rsidRPr="00967EDA">
        <w:rPr>
          <w:rFonts w:ascii="Arial" w:eastAsia="Times New Roman" w:hAnsi="Arial" w:cs="Arial"/>
          <w:b/>
          <w:bCs/>
          <w:color w:val="747474"/>
          <w:sz w:val="20"/>
          <w:szCs w:val="20"/>
          <w:lang w:val="en-US" w:eastAsia="nl-NL"/>
        </w:rPr>
        <w:t>esults</w:t>
      </w:r>
      <w:r w:rsidR="00017F82">
        <w:rPr>
          <w:rFonts w:ascii="Arial" w:eastAsia="Times New Roman" w:hAnsi="Arial" w:cs="Arial"/>
          <w:color w:val="747474"/>
          <w:sz w:val="20"/>
          <w:szCs w:val="20"/>
          <w:lang w:val="en-US" w:eastAsia="nl-NL"/>
        </w:rPr>
        <w:br/>
      </w:r>
      <w:r w:rsidR="00AC50FD" w:rsidRPr="00967EDA">
        <w:rPr>
          <w:rFonts w:ascii="Arial" w:eastAsia="Times New Roman" w:hAnsi="Arial" w:cs="Arial"/>
          <w:color w:val="747474"/>
          <w:sz w:val="20"/>
          <w:szCs w:val="20"/>
          <w:lang w:val="en-US" w:eastAsia="nl-NL"/>
        </w:rPr>
        <w:t>In addition to the monthly financial ledger consolidation at Ricoh Europe HQ, we have developed a parallel supply chain costs consolidation system. This consolidation of the logistics cost is the basis for the achievement of the following results:</w:t>
      </w:r>
    </w:p>
    <w:p w:rsidR="00AC50FD" w:rsidRDefault="00AC50FD" w:rsidP="00FB5173">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lastRenderedPageBreak/>
        <w:t>Identify best practices through cost benchmarking between logistics networks of Ricoh sales companies.</w:t>
      </w:r>
    </w:p>
    <w:p w:rsidR="006A438D" w:rsidRDefault="00AC50FD" w:rsidP="00FB5173">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Evaluate saving opportunities based on scenario analyses where costs are related to service levels and sourcing alternatives</w:t>
      </w:r>
    </w:p>
    <w:p w:rsidR="00AC50FD" w:rsidRDefault="006A438D" w:rsidP="00FB5173">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0"/>
          <w:szCs w:val="20"/>
          <w:lang w:val="en-US" w:eastAsia="nl-NL"/>
        </w:rPr>
      </w:pPr>
      <w:r>
        <w:rPr>
          <w:rFonts w:ascii="Arial" w:eastAsia="Times New Roman" w:hAnsi="Arial" w:cs="Arial"/>
          <w:color w:val="747474"/>
          <w:sz w:val="20"/>
          <w:szCs w:val="20"/>
          <w:lang w:val="en-US" w:eastAsia="nl-NL"/>
        </w:rPr>
        <w:t>Calculation of</w:t>
      </w:r>
      <w:r w:rsidR="00AC50FD" w:rsidRPr="00AC50FD">
        <w:rPr>
          <w:rFonts w:ascii="Arial" w:eastAsia="Times New Roman" w:hAnsi="Arial" w:cs="Arial"/>
          <w:color w:val="747474"/>
          <w:sz w:val="20"/>
          <w:szCs w:val="20"/>
          <w:lang w:val="en-US" w:eastAsia="nl-NL"/>
        </w:rPr>
        <w:t xml:space="preserve"> the </w:t>
      </w:r>
      <w:r w:rsidR="00AC50FD" w:rsidRPr="00AC50FD">
        <w:rPr>
          <w:rFonts w:ascii="Sansation" w:hAnsi="Sansation" w:cs="Arial"/>
          <w:sz w:val="16"/>
          <w:lang w:val="en-GB"/>
        </w:rPr>
        <w:t>END TO END</w:t>
      </w:r>
      <w:r w:rsidR="00AC50FD" w:rsidRPr="00AC50FD">
        <w:rPr>
          <w:rFonts w:ascii="Arial" w:eastAsia="Times New Roman" w:hAnsi="Arial" w:cs="Arial"/>
          <w:color w:val="747474"/>
          <w:sz w:val="20"/>
          <w:szCs w:val="20"/>
          <w:lang w:val="en-US" w:eastAsia="nl-NL"/>
        </w:rPr>
        <w:t xml:space="preserve"> supply chain cost prices for a final </w:t>
      </w:r>
      <w:r w:rsidR="005A2021">
        <w:rPr>
          <w:rFonts w:ascii="Arial" w:eastAsia="Times New Roman" w:hAnsi="Arial" w:cs="Arial"/>
          <w:color w:val="747474"/>
          <w:sz w:val="20"/>
          <w:szCs w:val="20"/>
          <w:lang w:val="en-US" w:eastAsia="nl-NL"/>
        </w:rPr>
        <w:t xml:space="preserve">mile printer and toner </w:t>
      </w:r>
      <w:r w:rsidR="00AC50FD" w:rsidRPr="00AC50FD">
        <w:rPr>
          <w:rFonts w:ascii="Arial" w:eastAsia="Times New Roman" w:hAnsi="Arial" w:cs="Arial"/>
          <w:color w:val="747474"/>
          <w:sz w:val="20"/>
          <w:szCs w:val="20"/>
          <w:lang w:val="en-US" w:eastAsia="nl-NL"/>
        </w:rPr>
        <w:t>delivery</w:t>
      </w:r>
      <w:r w:rsidR="005A2021">
        <w:rPr>
          <w:rFonts w:ascii="Arial" w:eastAsia="Times New Roman" w:hAnsi="Arial" w:cs="Arial"/>
          <w:color w:val="747474"/>
          <w:sz w:val="20"/>
          <w:szCs w:val="20"/>
          <w:lang w:val="en-US" w:eastAsia="nl-NL"/>
        </w:rPr>
        <w:t>.</w:t>
      </w:r>
    </w:p>
    <w:p w:rsidR="00FB5173" w:rsidRPr="00AC50FD" w:rsidRDefault="00FB5173" w:rsidP="00FB5173">
      <w:pPr>
        <w:shd w:val="clear" w:color="auto" w:fill="FFFFFF"/>
        <w:spacing w:before="100" w:beforeAutospacing="1" w:after="100" w:afterAutospacing="1" w:line="300" w:lineRule="atLeast"/>
        <w:jc w:val="both"/>
        <w:rPr>
          <w:rFonts w:ascii="Arial" w:eastAsia="Times New Roman" w:hAnsi="Arial" w:cs="Arial"/>
          <w:color w:val="747474"/>
          <w:sz w:val="20"/>
          <w:szCs w:val="20"/>
          <w:lang w:val="en-US" w:eastAsia="nl-NL"/>
        </w:rPr>
      </w:pPr>
      <w:r>
        <w:rPr>
          <w:rFonts w:ascii="Arial" w:eastAsia="Times New Roman" w:hAnsi="Arial" w:cs="Arial"/>
          <w:color w:val="747474"/>
          <w:sz w:val="20"/>
          <w:szCs w:val="20"/>
          <w:lang w:val="en-US" w:eastAsia="nl-N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725"/>
      </w:tblGrid>
      <w:tr w:rsidR="00AC50FD" w:rsidTr="00FB5173">
        <w:tc>
          <w:tcPr>
            <w:tcW w:w="6062" w:type="dxa"/>
          </w:tcPr>
          <w:p w:rsidR="00AC50FD" w:rsidRDefault="00AC50FD" w:rsidP="00017F82">
            <w:pPr>
              <w:shd w:val="clear" w:color="auto" w:fill="FFFFFF"/>
              <w:spacing w:after="300" w:line="300" w:lineRule="atLeast"/>
              <w:rPr>
                <w:rFonts w:ascii="Arial" w:eastAsia="Times New Roman" w:hAnsi="Arial" w:cs="Arial"/>
                <w:color w:val="747474"/>
                <w:sz w:val="20"/>
                <w:szCs w:val="20"/>
                <w:lang w:val="en-US" w:eastAsia="nl-NL"/>
              </w:rPr>
            </w:pPr>
            <w:r w:rsidRPr="00967EDA">
              <w:rPr>
                <w:rFonts w:ascii="Arial" w:eastAsia="Times New Roman" w:hAnsi="Arial" w:cs="Arial"/>
                <w:b/>
                <w:bCs/>
                <w:color w:val="747474"/>
                <w:sz w:val="20"/>
                <w:szCs w:val="20"/>
                <w:lang w:val="en-US" w:eastAsia="nl-NL"/>
              </w:rPr>
              <w:t>About Ricoh Europe Supply Chain</w:t>
            </w:r>
            <w:r w:rsidR="00017F82">
              <w:rPr>
                <w:rFonts w:ascii="Arial" w:eastAsia="Times New Roman" w:hAnsi="Arial" w:cs="Arial"/>
                <w:b/>
                <w:bCs/>
                <w:color w:val="747474"/>
                <w:sz w:val="20"/>
                <w:szCs w:val="20"/>
                <w:lang w:val="en-US" w:eastAsia="nl-NL"/>
              </w:rPr>
              <w:br/>
            </w:r>
            <w:r w:rsidRPr="00967EDA">
              <w:rPr>
                <w:rFonts w:ascii="Arial" w:eastAsia="Times New Roman" w:hAnsi="Arial" w:cs="Arial"/>
                <w:color w:val="747474"/>
                <w:sz w:val="20"/>
                <w:szCs w:val="20"/>
                <w:lang w:val="en-US" w:eastAsia="nl-NL"/>
              </w:rPr>
              <w:t>Ricoh Europe Supply Chain is responsible for forecasting, procurement, storage and delivery of products for the Ricoh sales organizations in Europe, the Middle East and Africa (EMEA).</w:t>
            </w:r>
            <w:r>
              <w:rPr>
                <w:rFonts w:ascii="Arial" w:eastAsia="Times New Roman" w:hAnsi="Arial" w:cs="Arial"/>
                <w:color w:val="747474"/>
                <w:sz w:val="20"/>
                <w:szCs w:val="20"/>
                <w:lang w:val="en-US" w:eastAsia="nl-NL"/>
              </w:rPr>
              <w:br/>
            </w:r>
            <w:r w:rsidRPr="00967EDA">
              <w:rPr>
                <w:rFonts w:ascii="Arial" w:eastAsia="Times New Roman" w:hAnsi="Arial" w:cs="Arial"/>
                <w:color w:val="747474"/>
                <w:sz w:val="20"/>
                <w:szCs w:val="20"/>
                <w:lang w:val="en-US" w:eastAsia="nl-NL"/>
              </w:rPr>
              <w:t>The product range consists of copiers, printers, faxes, scanners and toners. Production takes place in factories in Asia, France</w:t>
            </w:r>
            <w:r>
              <w:rPr>
                <w:rFonts w:ascii="Arial" w:eastAsia="Times New Roman" w:hAnsi="Arial" w:cs="Arial"/>
                <w:color w:val="747474"/>
                <w:sz w:val="20"/>
                <w:szCs w:val="20"/>
                <w:lang w:val="en-US" w:eastAsia="nl-NL"/>
              </w:rPr>
              <w:t xml:space="preserve"> </w:t>
            </w:r>
            <w:r w:rsidRPr="00967EDA">
              <w:rPr>
                <w:rFonts w:ascii="Arial" w:eastAsia="Times New Roman" w:hAnsi="Arial" w:cs="Arial"/>
                <w:color w:val="747474"/>
                <w:sz w:val="20"/>
                <w:szCs w:val="20"/>
                <w:lang w:val="en-US" w:eastAsia="nl-NL"/>
              </w:rPr>
              <w:t>and England. Ricoh Europe Supply Chain delivers products on behalf of the Ricoh sales companies directly to end users, dealers and distributors in the EMEA region.</w:t>
            </w:r>
            <w:r w:rsidR="00FB5173">
              <w:rPr>
                <w:rFonts w:ascii="Arial" w:eastAsia="Times New Roman" w:hAnsi="Arial" w:cs="Arial"/>
                <w:color w:val="747474"/>
                <w:sz w:val="20"/>
                <w:szCs w:val="20"/>
                <w:lang w:val="en-US" w:eastAsia="nl-NL"/>
              </w:rPr>
              <w:t xml:space="preserve"> </w:t>
            </w:r>
            <w:r w:rsidRPr="00967EDA">
              <w:rPr>
                <w:rFonts w:ascii="Arial" w:eastAsia="Times New Roman" w:hAnsi="Arial" w:cs="Arial"/>
                <w:color w:val="747474"/>
                <w:sz w:val="20"/>
                <w:szCs w:val="20"/>
                <w:lang w:val="en-US" w:eastAsia="nl-NL"/>
              </w:rPr>
              <w:t xml:space="preserve">Ricoh Europe Supply Chain operates two European distribution </w:t>
            </w:r>
            <w:proofErr w:type="spellStart"/>
            <w:r w:rsidRPr="00967EDA">
              <w:rPr>
                <w:rFonts w:ascii="Arial" w:eastAsia="Times New Roman" w:hAnsi="Arial" w:cs="Arial"/>
                <w:color w:val="747474"/>
                <w:sz w:val="20"/>
                <w:szCs w:val="20"/>
                <w:lang w:val="en-US" w:eastAsia="nl-NL"/>
              </w:rPr>
              <w:t>centres</w:t>
            </w:r>
            <w:proofErr w:type="spellEnd"/>
            <w:r w:rsidRPr="00967EDA">
              <w:rPr>
                <w:rFonts w:ascii="Arial" w:eastAsia="Times New Roman" w:hAnsi="Arial" w:cs="Arial"/>
                <w:color w:val="747474"/>
                <w:sz w:val="20"/>
                <w:szCs w:val="20"/>
                <w:lang w:val="en-US" w:eastAsia="nl-NL"/>
              </w:rPr>
              <w:t xml:space="preserve"> in the Netherlands, Bergen op Zoom and Schiphol-</w:t>
            </w:r>
            <w:proofErr w:type="spellStart"/>
            <w:r w:rsidRPr="00967EDA">
              <w:rPr>
                <w:rFonts w:ascii="Arial" w:eastAsia="Times New Roman" w:hAnsi="Arial" w:cs="Arial"/>
                <w:color w:val="747474"/>
                <w:sz w:val="20"/>
                <w:szCs w:val="20"/>
                <w:lang w:val="en-US" w:eastAsia="nl-NL"/>
              </w:rPr>
              <w:t>Rijk</w:t>
            </w:r>
            <w:proofErr w:type="spellEnd"/>
            <w:r w:rsidRPr="00967EDA">
              <w:rPr>
                <w:rFonts w:ascii="Arial" w:eastAsia="Times New Roman" w:hAnsi="Arial" w:cs="Arial"/>
                <w:color w:val="747474"/>
                <w:sz w:val="20"/>
                <w:szCs w:val="20"/>
                <w:lang w:val="en-US" w:eastAsia="nl-NL"/>
              </w:rPr>
              <w:t xml:space="preserve">, and a dozen satellite </w:t>
            </w:r>
            <w:proofErr w:type="spellStart"/>
            <w:r w:rsidRPr="00967EDA">
              <w:rPr>
                <w:rFonts w:ascii="Arial" w:eastAsia="Times New Roman" w:hAnsi="Arial" w:cs="Arial"/>
                <w:color w:val="747474"/>
                <w:sz w:val="20"/>
                <w:szCs w:val="20"/>
                <w:lang w:val="en-US" w:eastAsia="nl-NL"/>
              </w:rPr>
              <w:t>centres</w:t>
            </w:r>
            <w:proofErr w:type="spellEnd"/>
            <w:r w:rsidRPr="00967EDA">
              <w:rPr>
                <w:rFonts w:ascii="Arial" w:eastAsia="Times New Roman" w:hAnsi="Arial" w:cs="Arial"/>
                <w:color w:val="747474"/>
                <w:sz w:val="20"/>
                <w:szCs w:val="20"/>
                <w:lang w:val="en-US" w:eastAsia="nl-NL"/>
              </w:rPr>
              <w:t>.</w:t>
            </w:r>
          </w:p>
        </w:tc>
        <w:tc>
          <w:tcPr>
            <w:tcW w:w="2725" w:type="dxa"/>
          </w:tcPr>
          <w:p w:rsidR="00AC50FD" w:rsidRDefault="00AC50FD" w:rsidP="00FB5173">
            <w:pPr>
              <w:tabs>
                <w:tab w:val="left" w:pos="317"/>
              </w:tabs>
              <w:spacing w:after="300" w:line="300" w:lineRule="atLeast"/>
              <w:ind w:left="317"/>
              <w:jc w:val="right"/>
              <w:rPr>
                <w:rFonts w:ascii="Arial" w:eastAsia="Times New Roman" w:hAnsi="Arial" w:cs="Arial"/>
                <w:color w:val="747474"/>
                <w:sz w:val="20"/>
                <w:szCs w:val="20"/>
                <w:lang w:val="en-US" w:eastAsia="nl-NL"/>
              </w:rPr>
            </w:pPr>
            <w:r w:rsidRPr="00AC50FD">
              <w:rPr>
                <w:rFonts w:ascii="Arial" w:eastAsia="Times New Roman" w:hAnsi="Arial" w:cs="Arial"/>
                <w:noProof/>
                <w:color w:val="747474"/>
                <w:sz w:val="20"/>
                <w:szCs w:val="20"/>
                <w:lang w:eastAsia="nl-NL"/>
              </w:rPr>
              <w:drawing>
                <wp:inline distT="0" distB="0" distL="0" distR="0" wp14:anchorId="2B0F3160" wp14:editId="00E60945">
                  <wp:extent cx="1498600" cy="1911875"/>
                  <wp:effectExtent l="0" t="0" r="635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438" t="23689" r="56310" b="12233"/>
                          <a:stretch/>
                        </pic:blipFill>
                        <pic:spPr bwMode="auto">
                          <a:xfrm>
                            <a:off x="0" y="0"/>
                            <a:ext cx="1503157" cy="1917689"/>
                          </a:xfrm>
                          <a:prstGeom prst="rect">
                            <a:avLst/>
                          </a:prstGeom>
                          <a:noFill/>
                          <a:ln>
                            <a:noFill/>
                          </a:ln>
                          <a:extLst/>
                        </pic:spPr>
                      </pic:pic>
                    </a:graphicData>
                  </a:graphic>
                </wp:inline>
              </w:drawing>
            </w:r>
          </w:p>
        </w:tc>
      </w:tr>
    </w:tbl>
    <w:p w:rsidR="00AC50FD" w:rsidRPr="00967EDA" w:rsidRDefault="00AC50FD" w:rsidP="00BA6D36">
      <w:pPr>
        <w:shd w:val="clear" w:color="auto" w:fill="FFFFFF"/>
        <w:spacing w:after="300" w:line="300" w:lineRule="atLeast"/>
        <w:jc w:val="both"/>
        <w:rPr>
          <w:rFonts w:ascii="Arial" w:eastAsia="Times New Roman" w:hAnsi="Arial" w:cs="Arial"/>
          <w:color w:val="747474"/>
          <w:sz w:val="20"/>
          <w:szCs w:val="20"/>
          <w:lang w:val="en-US" w:eastAsia="nl-NL"/>
        </w:rPr>
      </w:pPr>
      <w:r w:rsidRPr="00967EDA">
        <w:rPr>
          <w:rFonts w:ascii="Arial" w:eastAsia="Times New Roman" w:hAnsi="Arial" w:cs="Arial"/>
          <w:color w:val="747474"/>
          <w:sz w:val="20"/>
          <w:szCs w:val="20"/>
          <w:lang w:val="en-US" w:eastAsia="nl-NL"/>
        </w:rPr>
        <w:t>The location in Bergen op Zoom covers over 50,000 square meters and daily processes more than 12,000 orders. There are also multiple assembly lines for copiers. At Schiphol-</w:t>
      </w:r>
      <w:proofErr w:type="spellStart"/>
      <w:r w:rsidRPr="00967EDA">
        <w:rPr>
          <w:rFonts w:ascii="Arial" w:eastAsia="Times New Roman" w:hAnsi="Arial" w:cs="Arial"/>
          <w:color w:val="747474"/>
          <w:sz w:val="20"/>
          <w:szCs w:val="20"/>
          <w:lang w:val="en-US" w:eastAsia="nl-NL"/>
        </w:rPr>
        <w:t>Rijk</w:t>
      </w:r>
      <w:proofErr w:type="spellEnd"/>
      <w:r w:rsidRPr="00967EDA">
        <w:rPr>
          <w:rFonts w:ascii="Arial" w:eastAsia="Times New Roman" w:hAnsi="Arial" w:cs="Arial"/>
          <w:color w:val="747474"/>
          <w:sz w:val="20"/>
          <w:szCs w:val="20"/>
          <w:lang w:val="en-US" w:eastAsia="nl-NL"/>
        </w:rPr>
        <w:t xml:space="preserve"> service items are stored and shipped to Ricoh service engineers and dealers.</w:t>
      </w:r>
    </w:p>
    <w:p w:rsidR="00CE5EC2" w:rsidRDefault="00AC50FD" w:rsidP="00CE5EC2">
      <w:pPr>
        <w:shd w:val="clear" w:color="auto" w:fill="FFFFFF"/>
        <w:spacing w:after="300" w:line="300" w:lineRule="atLeast"/>
        <w:rPr>
          <w:rFonts w:ascii="Arial" w:eastAsia="Times New Roman" w:hAnsi="Arial" w:cs="Arial"/>
          <w:color w:val="747474"/>
          <w:sz w:val="20"/>
          <w:szCs w:val="20"/>
          <w:lang w:val="en-US" w:eastAsia="nl-NL"/>
        </w:rPr>
      </w:pPr>
      <w:r w:rsidRPr="00967EDA">
        <w:rPr>
          <w:rFonts w:ascii="Arial" w:eastAsia="Times New Roman" w:hAnsi="Arial" w:cs="Arial"/>
          <w:b/>
          <w:bCs/>
          <w:color w:val="747474"/>
          <w:sz w:val="20"/>
          <w:szCs w:val="20"/>
          <w:lang w:val="en-US" w:eastAsia="nl-NL"/>
        </w:rPr>
        <w:t xml:space="preserve">About </w:t>
      </w:r>
      <w:proofErr w:type="spellStart"/>
      <w:r w:rsidRPr="00967EDA">
        <w:rPr>
          <w:rFonts w:ascii="Arial" w:eastAsia="Times New Roman" w:hAnsi="Arial" w:cs="Arial"/>
          <w:b/>
          <w:bCs/>
          <w:color w:val="747474"/>
          <w:sz w:val="20"/>
          <w:szCs w:val="20"/>
          <w:lang w:val="en-US" w:eastAsia="nl-NL"/>
        </w:rPr>
        <w:t>Quantalus</w:t>
      </w:r>
      <w:proofErr w:type="spellEnd"/>
      <w:r w:rsidRPr="00967EDA">
        <w:rPr>
          <w:rFonts w:ascii="Arial" w:eastAsia="Times New Roman" w:hAnsi="Arial" w:cs="Arial"/>
          <w:b/>
          <w:bCs/>
          <w:color w:val="747474"/>
          <w:sz w:val="20"/>
          <w:szCs w:val="20"/>
          <w:lang w:val="en-US" w:eastAsia="nl-NL"/>
        </w:rPr>
        <w:t xml:space="preserve"> </w:t>
      </w:r>
      <w:r w:rsidR="00CE5EC2">
        <w:rPr>
          <w:rFonts w:ascii="Arial" w:eastAsia="Times New Roman" w:hAnsi="Arial" w:cs="Arial"/>
          <w:b/>
          <w:bCs/>
          <w:color w:val="747474"/>
          <w:sz w:val="20"/>
          <w:szCs w:val="20"/>
          <w:lang w:val="en-US" w:eastAsia="nl-NL"/>
        </w:rPr>
        <w:br/>
      </w:r>
      <w:proofErr w:type="spellStart"/>
      <w:r w:rsidRPr="00967EDA">
        <w:rPr>
          <w:rFonts w:ascii="Arial" w:eastAsia="Times New Roman" w:hAnsi="Arial" w:cs="Arial"/>
          <w:color w:val="747474"/>
          <w:sz w:val="20"/>
          <w:szCs w:val="20"/>
          <w:lang w:val="en-US" w:eastAsia="nl-NL"/>
        </w:rPr>
        <w:t>Quantalus</w:t>
      </w:r>
      <w:proofErr w:type="spellEnd"/>
      <w:r w:rsidRPr="00967EDA">
        <w:rPr>
          <w:rFonts w:ascii="Arial" w:eastAsia="Times New Roman" w:hAnsi="Arial" w:cs="Arial"/>
          <w:color w:val="747474"/>
          <w:sz w:val="20"/>
          <w:szCs w:val="20"/>
          <w:lang w:val="en-US" w:eastAsia="nl-NL"/>
        </w:rPr>
        <w:t xml:space="preserve"> B.V. is based in Utrecht end delivers solutions on the edge of Information Technology and Finance. Our expertise touches upon logistic, commercial and financial processes. We focus on specific needs in your organization and distinguish ourselves with an exceptionally good analysis and clear presentation. During the implementation of our projects we provide a motion, which invokes change. </w:t>
      </w:r>
      <w:r w:rsidR="00CE5EC2">
        <w:rPr>
          <w:rFonts w:ascii="Arial" w:eastAsia="Times New Roman" w:hAnsi="Arial" w:cs="Arial"/>
          <w:color w:val="747474"/>
          <w:sz w:val="20"/>
          <w:szCs w:val="20"/>
          <w:lang w:val="en-US" w:eastAsia="nl-NL"/>
        </w:rPr>
        <w:t xml:space="preserve">We </w:t>
      </w:r>
      <w:r w:rsidR="00CE5EC2" w:rsidRPr="00967EDA">
        <w:rPr>
          <w:rFonts w:ascii="Arial" w:eastAsia="Times New Roman" w:hAnsi="Arial" w:cs="Arial"/>
          <w:color w:val="747474"/>
          <w:sz w:val="20"/>
          <w:szCs w:val="20"/>
          <w:lang w:val="en-US" w:eastAsia="nl-NL"/>
        </w:rPr>
        <w:t>develop together with our customers practical solutions to daily problems.</w:t>
      </w:r>
    </w:p>
    <w:p w:rsidR="007F7906" w:rsidRPr="00CE5EC2" w:rsidRDefault="00AC50FD" w:rsidP="00CE5EC2">
      <w:pPr>
        <w:shd w:val="clear" w:color="auto" w:fill="FFFFFF"/>
        <w:spacing w:after="300" w:line="300" w:lineRule="atLeast"/>
        <w:rPr>
          <w:lang w:val="en-GB"/>
        </w:rPr>
      </w:pPr>
      <w:r w:rsidRPr="00967EDA">
        <w:rPr>
          <w:rFonts w:ascii="Arial" w:eastAsia="Times New Roman" w:hAnsi="Arial" w:cs="Arial"/>
          <w:color w:val="747474"/>
          <w:sz w:val="20"/>
          <w:szCs w:val="20"/>
          <w:lang w:val="en-US" w:eastAsia="nl-NL"/>
        </w:rPr>
        <w:t xml:space="preserve">Our </w:t>
      </w:r>
      <w:proofErr w:type="spellStart"/>
      <w:r w:rsidRPr="00967EDA">
        <w:rPr>
          <w:rFonts w:ascii="Arial" w:eastAsia="Times New Roman" w:hAnsi="Arial" w:cs="Arial"/>
          <w:color w:val="747474"/>
          <w:sz w:val="20"/>
          <w:szCs w:val="20"/>
          <w:lang w:val="en-US" w:eastAsia="nl-NL"/>
        </w:rPr>
        <w:t>projectplan</w:t>
      </w:r>
      <w:proofErr w:type="spellEnd"/>
      <w:r w:rsidRPr="00967EDA">
        <w:rPr>
          <w:rFonts w:ascii="Arial" w:eastAsia="Times New Roman" w:hAnsi="Arial" w:cs="Arial"/>
          <w:color w:val="747474"/>
          <w:sz w:val="20"/>
          <w:szCs w:val="20"/>
          <w:lang w:val="en-US" w:eastAsia="nl-NL"/>
        </w:rPr>
        <w:t xml:space="preserve"> is always concise, communicative and result driven.</w:t>
      </w:r>
    </w:p>
    <w:sectPr w:rsidR="007F7906" w:rsidRPr="00CE5EC2" w:rsidSect="00FB5173">
      <w:headerReference w:type="default" r:id="rId10"/>
      <w:footerReference w:type="default" r:id="rId11"/>
      <w:pgSz w:w="11906" w:h="16838"/>
      <w:pgMar w:top="1417" w:right="1417" w:bottom="1417" w:left="1417" w:header="708" w:footer="5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CAD" w:rsidRDefault="00712CAD" w:rsidP="007F7906">
      <w:pPr>
        <w:spacing w:after="0" w:line="240" w:lineRule="auto"/>
      </w:pPr>
      <w:r>
        <w:separator/>
      </w:r>
    </w:p>
  </w:endnote>
  <w:endnote w:type="continuationSeparator" w:id="0">
    <w:p w:rsidR="00712CAD" w:rsidRDefault="00712CAD" w:rsidP="007F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ansation">
    <w:panose1 w:val="02000000000000000000"/>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173" w:rsidRDefault="00FB5173" w:rsidP="00FB5173">
    <w:pPr>
      <w:pStyle w:val="Footer"/>
      <w:tabs>
        <w:tab w:val="clear" w:pos="4536"/>
        <w:tab w:val="clear" w:pos="9072"/>
        <w:tab w:val="left" w:pos="405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CAD" w:rsidRDefault="00712CAD" w:rsidP="007F7906">
      <w:pPr>
        <w:spacing w:after="0" w:line="240" w:lineRule="auto"/>
      </w:pPr>
      <w:r>
        <w:separator/>
      </w:r>
    </w:p>
  </w:footnote>
  <w:footnote w:type="continuationSeparator" w:id="0">
    <w:p w:rsidR="00712CAD" w:rsidRDefault="00712CAD" w:rsidP="007F7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906" w:rsidRDefault="003A6193" w:rsidP="007F7906">
    <w:pPr>
      <w:pStyle w:val="Header"/>
      <w:jc w:val="center"/>
    </w:pPr>
    <w:r>
      <w:rPr>
        <w:noProof/>
        <w:lang w:eastAsia="nl-NL"/>
      </w:rPr>
      <w:drawing>
        <wp:inline distT="0" distB="0" distL="0" distR="0" wp14:anchorId="0E9AE765" wp14:editId="67ABD851">
          <wp:extent cx="1358900" cy="117196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9583" t="16666" r="11667" b="15417"/>
                  <a:stretch/>
                </pic:blipFill>
                <pic:spPr bwMode="auto">
                  <a:xfrm>
                    <a:off x="0" y="0"/>
                    <a:ext cx="1363293" cy="117574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B1FA9"/>
    <w:multiLevelType w:val="multilevel"/>
    <w:tmpl w:val="AB64A3F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906"/>
    <w:rsid w:val="000051A5"/>
    <w:rsid w:val="00005A1E"/>
    <w:rsid w:val="00007019"/>
    <w:rsid w:val="00013A23"/>
    <w:rsid w:val="00017F82"/>
    <w:rsid w:val="000220D8"/>
    <w:rsid w:val="000235A7"/>
    <w:rsid w:val="000736B9"/>
    <w:rsid w:val="0007667A"/>
    <w:rsid w:val="0008377B"/>
    <w:rsid w:val="000A16A3"/>
    <w:rsid w:val="000B7896"/>
    <w:rsid w:val="000C5328"/>
    <w:rsid w:val="000C63CE"/>
    <w:rsid w:val="000C78ED"/>
    <w:rsid w:val="000F3A8A"/>
    <w:rsid w:val="000F59CC"/>
    <w:rsid w:val="0013173D"/>
    <w:rsid w:val="0013435F"/>
    <w:rsid w:val="00144FAE"/>
    <w:rsid w:val="001457E0"/>
    <w:rsid w:val="001823CE"/>
    <w:rsid w:val="0019250D"/>
    <w:rsid w:val="001E3191"/>
    <w:rsid w:val="0021434D"/>
    <w:rsid w:val="002616DF"/>
    <w:rsid w:val="00262810"/>
    <w:rsid w:val="002734F1"/>
    <w:rsid w:val="002834B7"/>
    <w:rsid w:val="002A030B"/>
    <w:rsid w:val="002A2A25"/>
    <w:rsid w:val="002A7548"/>
    <w:rsid w:val="002B640E"/>
    <w:rsid w:val="002E02F8"/>
    <w:rsid w:val="002E0A4D"/>
    <w:rsid w:val="002F42AA"/>
    <w:rsid w:val="00305944"/>
    <w:rsid w:val="00312EBB"/>
    <w:rsid w:val="003151F5"/>
    <w:rsid w:val="003464DB"/>
    <w:rsid w:val="0036418E"/>
    <w:rsid w:val="003656A8"/>
    <w:rsid w:val="00372D68"/>
    <w:rsid w:val="00382BA3"/>
    <w:rsid w:val="003A1B4A"/>
    <w:rsid w:val="003A6193"/>
    <w:rsid w:val="003B540F"/>
    <w:rsid w:val="003B5F3D"/>
    <w:rsid w:val="003B753B"/>
    <w:rsid w:val="003C27F9"/>
    <w:rsid w:val="003E42AB"/>
    <w:rsid w:val="00404752"/>
    <w:rsid w:val="00420B22"/>
    <w:rsid w:val="00430178"/>
    <w:rsid w:val="004546F1"/>
    <w:rsid w:val="0047144B"/>
    <w:rsid w:val="00472CF8"/>
    <w:rsid w:val="004855B8"/>
    <w:rsid w:val="0049655C"/>
    <w:rsid w:val="004C3DB7"/>
    <w:rsid w:val="004E42FF"/>
    <w:rsid w:val="0050662B"/>
    <w:rsid w:val="00517E0D"/>
    <w:rsid w:val="00534DFA"/>
    <w:rsid w:val="00553576"/>
    <w:rsid w:val="005735A1"/>
    <w:rsid w:val="00576226"/>
    <w:rsid w:val="005A2021"/>
    <w:rsid w:val="005B13FB"/>
    <w:rsid w:val="005C019E"/>
    <w:rsid w:val="005E574B"/>
    <w:rsid w:val="006031AA"/>
    <w:rsid w:val="00603EF8"/>
    <w:rsid w:val="0062468C"/>
    <w:rsid w:val="006403EE"/>
    <w:rsid w:val="00677935"/>
    <w:rsid w:val="00677B3C"/>
    <w:rsid w:val="006A438D"/>
    <w:rsid w:val="006B12F3"/>
    <w:rsid w:val="006B1AC2"/>
    <w:rsid w:val="00705C39"/>
    <w:rsid w:val="00712CAD"/>
    <w:rsid w:val="00715DE8"/>
    <w:rsid w:val="007167B7"/>
    <w:rsid w:val="0072051C"/>
    <w:rsid w:val="00730B61"/>
    <w:rsid w:val="00751201"/>
    <w:rsid w:val="00755172"/>
    <w:rsid w:val="007635AC"/>
    <w:rsid w:val="007768BE"/>
    <w:rsid w:val="00785ADA"/>
    <w:rsid w:val="00794638"/>
    <w:rsid w:val="007A0F60"/>
    <w:rsid w:val="007A75EA"/>
    <w:rsid w:val="007B1127"/>
    <w:rsid w:val="007B5C9B"/>
    <w:rsid w:val="007E20F0"/>
    <w:rsid w:val="007E343E"/>
    <w:rsid w:val="007F1DF6"/>
    <w:rsid w:val="007F7906"/>
    <w:rsid w:val="00804394"/>
    <w:rsid w:val="00813496"/>
    <w:rsid w:val="00837F31"/>
    <w:rsid w:val="00857B22"/>
    <w:rsid w:val="00872341"/>
    <w:rsid w:val="00901841"/>
    <w:rsid w:val="00942F80"/>
    <w:rsid w:val="00954736"/>
    <w:rsid w:val="00957958"/>
    <w:rsid w:val="0096725E"/>
    <w:rsid w:val="009712AE"/>
    <w:rsid w:val="00975DD2"/>
    <w:rsid w:val="0099267C"/>
    <w:rsid w:val="009B3211"/>
    <w:rsid w:val="009C0415"/>
    <w:rsid w:val="009D04D7"/>
    <w:rsid w:val="009D1F2D"/>
    <w:rsid w:val="009E1B39"/>
    <w:rsid w:val="00A158A5"/>
    <w:rsid w:val="00A17673"/>
    <w:rsid w:val="00A37AFF"/>
    <w:rsid w:val="00A404E9"/>
    <w:rsid w:val="00A4346C"/>
    <w:rsid w:val="00A44F64"/>
    <w:rsid w:val="00A45EFB"/>
    <w:rsid w:val="00A612DD"/>
    <w:rsid w:val="00A71CF2"/>
    <w:rsid w:val="00A72D24"/>
    <w:rsid w:val="00AA1D79"/>
    <w:rsid w:val="00AB0897"/>
    <w:rsid w:val="00AB6878"/>
    <w:rsid w:val="00AC50FD"/>
    <w:rsid w:val="00AC5AEF"/>
    <w:rsid w:val="00AC766A"/>
    <w:rsid w:val="00AE0532"/>
    <w:rsid w:val="00AE5579"/>
    <w:rsid w:val="00AF35A7"/>
    <w:rsid w:val="00B03D5F"/>
    <w:rsid w:val="00B17A61"/>
    <w:rsid w:val="00B406B3"/>
    <w:rsid w:val="00B55792"/>
    <w:rsid w:val="00B5654C"/>
    <w:rsid w:val="00B70E69"/>
    <w:rsid w:val="00B72556"/>
    <w:rsid w:val="00B75EBA"/>
    <w:rsid w:val="00B77E98"/>
    <w:rsid w:val="00B9501B"/>
    <w:rsid w:val="00BA6D36"/>
    <w:rsid w:val="00BB4EE2"/>
    <w:rsid w:val="00BC4DB5"/>
    <w:rsid w:val="00BC60C2"/>
    <w:rsid w:val="00BD2142"/>
    <w:rsid w:val="00BD301A"/>
    <w:rsid w:val="00BD6248"/>
    <w:rsid w:val="00BE2811"/>
    <w:rsid w:val="00C30721"/>
    <w:rsid w:val="00C31607"/>
    <w:rsid w:val="00C4356A"/>
    <w:rsid w:val="00C72F1F"/>
    <w:rsid w:val="00C80440"/>
    <w:rsid w:val="00C95754"/>
    <w:rsid w:val="00CB3DE4"/>
    <w:rsid w:val="00CC1A5A"/>
    <w:rsid w:val="00CC3548"/>
    <w:rsid w:val="00CC3920"/>
    <w:rsid w:val="00CC548B"/>
    <w:rsid w:val="00CD11B1"/>
    <w:rsid w:val="00CE53A6"/>
    <w:rsid w:val="00CE5EC2"/>
    <w:rsid w:val="00D02581"/>
    <w:rsid w:val="00D67D9A"/>
    <w:rsid w:val="00D7041A"/>
    <w:rsid w:val="00D76A0B"/>
    <w:rsid w:val="00D7771D"/>
    <w:rsid w:val="00D82E85"/>
    <w:rsid w:val="00D8442C"/>
    <w:rsid w:val="00DA43A4"/>
    <w:rsid w:val="00DB5B4E"/>
    <w:rsid w:val="00DC0F53"/>
    <w:rsid w:val="00DC4CA9"/>
    <w:rsid w:val="00DD55FF"/>
    <w:rsid w:val="00DD7D2D"/>
    <w:rsid w:val="00E02847"/>
    <w:rsid w:val="00E0381D"/>
    <w:rsid w:val="00E06AE9"/>
    <w:rsid w:val="00E23DBE"/>
    <w:rsid w:val="00E30651"/>
    <w:rsid w:val="00E30EE5"/>
    <w:rsid w:val="00E32D47"/>
    <w:rsid w:val="00E36AC3"/>
    <w:rsid w:val="00E6047A"/>
    <w:rsid w:val="00E629AB"/>
    <w:rsid w:val="00E62EC3"/>
    <w:rsid w:val="00E8662E"/>
    <w:rsid w:val="00E920FB"/>
    <w:rsid w:val="00EA3A3E"/>
    <w:rsid w:val="00EA58C7"/>
    <w:rsid w:val="00EC3B4D"/>
    <w:rsid w:val="00EE6629"/>
    <w:rsid w:val="00F15CF9"/>
    <w:rsid w:val="00F3078C"/>
    <w:rsid w:val="00F32042"/>
    <w:rsid w:val="00F60DAA"/>
    <w:rsid w:val="00F93ABF"/>
    <w:rsid w:val="00F977A1"/>
    <w:rsid w:val="00FB286B"/>
    <w:rsid w:val="00FB5173"/>
    <w:rsid w:val="00FC43BC"/>
    <w:rsid w:val="00FD4675"/>
    <w:rsid w:val="00FF047A"/>
    <w:rsid w:val="00FF2B12"/>
    <w:rsid w:val="00FF54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F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7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906"/>
    <w:rPr>
      <w:rFonts w:ascii="Tahoma" w:hAnsi="Tahoma" w:cs="Tahoma"/>
      <w:sz w:val="16"/>
      <w:szCs w:val="16"/>
    </w:rPr>
  </w:style>
  <w:style w:type="paragraph" w:styleId="Header">
    <w:name w:val="header"/>
    <w:basedOn w:val="Normal"/>
    <w:link w:val="HeaderChar"/>
    <w:uiPriority w:val="99"/>
    <w:unhideWhenUsed/>
    <w:rsid w:val="007F7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906"/>
  </w:style>
  <w:style w:type="paragraph" w:styleId="Footer">
    <w:name w:val="footer"/>
    <w:basedOn w:val="Normal"/>
    <w:link w:val="FooterChar"/>
    <w:uiPriority w:val="99"/>
    <w:unhideWhenUsed/>
    <w:rsid w:val="007F7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906"/>
  </w:style>
  <w:style w:type="character" w:styleId="Hyperlink">
    <w:name w:val="Hyperlink"/>
    <w:basedOn w:val="DefaultParagraphFont"/>
    <w:uiPriority w:val="99"/>
    <w:unhideWhenUsed/>
    <w:rsid w:val="007F7906"/>
    <w:rPr>
      <w:color w:val="0000FF" w:themeColor="hyperlink"/>
      <w:u w:val="single"/>
    </w:rPr>
  </w:style>
  <w:style w:type="table" w:styleId="TableGrid">
    <w:name w:val="Table Grid"/>
    <w:basedOn w:val="TableNormal"/>
    <w:uiPriority w:val="59"/>
    <w:rsid w:val="00AC5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F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7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906"/>
    <w:rPr>
      <w:rFonts w:ascii="Tahoma" w:hAnsi="Tahoma" w:cs="Tahoma"/>
      <w:sz w:val="16"/>
      <w:szCs w:val="16"/>
    </w:rPr>
  </w:style>
  <w:style w:type="paragraph" w:styleId="Header">
    <w:name w:val="header"/>
    <w:basedOn w:val="Normal"/>
    <w:link w:val="HeaderChar"/>
    <w:uiPriority w:val="99"/>
    <w:unhideWhenUsed/>
    <w:rsid w:val="007F7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906"/>
  </w:style>
  <w:style w:type="paragraph" w:styleId="Footer">
    <w:name w:val="footer"/>
    <w:basedOn w:val="Normal"/>
    <w:link w:val="FooterChar"/>
    <w:uiPriority w:val="99"/>
    <w:unhideWhenUsed/>
    <w:rsid w:val="007F7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906"/>
  </w:style>
  <w:style w:type="character" w:styleId="Hyperlink">
    <w:name w:val="Hyperlink"/>
    <w:basedOn w:val="DefaultParagraphFont"/>
    <w:uiPriority w:val="99"/>
    <w:unhideWhenUsed/>
    <w:rsid w:val="007F7906"/>
    <w:rPr>
      <w:color w:val="0000FF" w:themeColor="hyperlink"/>
      <w:u w:val="single"/>
    </w:rPr>
  </w:style>
  <w:style w:type="table" w:styleId="TableGrid">
    <w:name w:val="Table Grid"/>
    <w:basedOn w:val="TableNormal"/>
    <w:uiPriority w:val="59"/>
    <w:rsid w:val="00AC5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628</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JS</dc:creator>
  <cp:lastModifiedBy>Laptop JS</cp:lastModifiedBy>
  <cp:revision>4</cp:revision>
  <dcterms:created xsi:type="dcterms:W3CDTF">2014-09-03T07:43:00Z</dcterms:created>
  <dcterms:modified xsi:type="dcterms:W3CDTF">2014-09-03T07:52:00Z</dcterms:modified>
</cp:coreProperties>
</file>