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D005CD" w14:textId="77777777" w:rsidR="005C095D" w:rsidRDefault="005C095D" w:rsidP="0064731F">
      <w:pPr>
        <w:spacing w:before="100" w:beforeAutospacing="1" w:after="100" w:afterAutospacing="1"/>
        <w:jc w:val="center"/>
        <w:outlineLvl w:val="1"/>
        <w:rPr>
          <w:rStyle w:val="Heading1Char"/>
        </w:rPr>
      </w:pPr>
      <w:r w:rsidRPr="005C095D">
        <w:rPr>
          <w:rFonts w:ascii="Segoe" w:eastAsia="Times New Roman" w:hAnsi="Segoe" w:cs="Times New Roman"/>
          <w:color w:val="0072C6"/>
          <w:sz w:val="35"/>
          <w:szCs w:val="35"/>
        </w:rPr>
        <w:t>​​</w:t>
      </w:r>
      <w:r w:rsidR="00095676" w:rsidRPr="007B5FCC">
        <w:rPr>
          <w:rStyle w:val="Heading1Char"/>
          <w:sz w:val="48"/>
          <w:szCs w:val="52"/>
        </w:rPr>
        <w:t>Dabble Blueshift</w:t>
      </w:r>
    </w:p>
    <w:p w14:paraId="2E7B359B" w14:textId="77777777" w:rsidR="007A01D4" w:rsidRDefault="007A01D4" w:rsidP="0064731F">
      <w:pPr>
        <w:spacing w:before="100" w:beforeAutospacing="1" w:after="100" w:afterAutospacing="1"/>
        <w:jc w:val="center"/>
        <w:outlineLvl w:val="1"/>
        <w:rPr>
          <w:rStyle w:val="Heading1Char"/>
        </w:rPr>
      </w:pPr>
    </w:p>
    <w:p w14:paraId="47C4549F" w14:textId="77777777" w:rsidR="0064731F" w:rsidRDefault="007A01D4" w:rsidP="0064731F">
      <w:pPr>
        <w:spacing w:before="100" w:beforeAutospacing="1" w:after="100" w:afterAutospacing="1"/>
        <w:jc w:val="center"/>
        <w:outlineLvl w:val="1"/>
        <w:rPr>
          <w:rStyle w:val="Heading1Char"/>
        </w:rPr>
      </w:pPr>
      <w:r>
        <w:rPr>
          <w:rFonts w:ascii="Raleway" w:eastAsiaTheme="majorEastAsia" w:hAnsi="Raleway" w:cstheme="majorBidi"/>
          <w:noProof/>
          <w:color w:val="2F5496" w:themeColor="accent1" w:themeShade="BF"/>
          <w:sz w:val="28"/>
          <w:szCs w:val="32"/>
        </w:rPr>
        <w:drawing>
          <wp:inline distT="0" distB="0" distL="0" distR="0" wp14:anchorId="3240D0FE" wp14:editId="7B9E6880">
            <wp:extent cx="4533363" cy="2252609"/>
            <wp:effectExtent l="0" t="0" r="635" b="0"/>
            <wp:docPr id="10" name="Picture 10"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shboard_Collage_2.png"/>
                    <pic:cNvPicPr/>
                  </pic:nvPicPr>
                  <pic:blipFill>
                    <a:blip r:embed="rId10">
                      <a:extLst>
                        <a:ext uri="{28A0092B-C50C-407E-A947-70E740481C1C}">
                          <a14:useLocalDpi xmlns:a14="http://schemas.microsoft.com/office/drawing/2010/main" val="0"/>
                        </a:ext>
                      </a:extLst>
                    </a:blip>
                    <a:stretch>
                      <a:fillRect/>
                    </a:stretch>
                  </pic:blipFill>
                  <pic:spPr>
                    <a:xfrm>
                      <a:off x="0" y="0"/>
                      <a:ext cx="4551047" cy="2261396"/>
                    </a:xfrm>
                    <a:prstGeom prst="rect">
                      <a:avLst/>
                    </a:prstGeom>
                  </pic:spPr>
                </pic:pic>
              </a:graphicData>
            </a:graphic>
          </wp:inline>
        </w:drawing>
      </w:r>
    </w:p>
    <w:p w14:paraId="51EF4562" w14:textId="77777777" w:rsidR="0064731F" w:rsidRDefault="0064731F" w:rsidP="0064731F">
      <w:pPr>
        <w:spacing w:before="100" w:beforeAutospacing="1" w:after="100" w:afterAutospacing="1"/>
        <w:jc w:val="center"/>
        <w:outlineLvl w:val="1"/>
        <w:rPr>
          <w:rStyle w:val="Heading1Char"/>
        </w:rPr>
      </w:pPr>
    </w:p>
    <w:p w14:paraId="63459079" w14:textId="77777777" w:rsidR="001018D1" w:rsidRPr="007B5FCC" w:rsidRDefault="007A01D4" w:rsidP="007A01D4">
      <w:pPr>
        <w:pStyle w:val="Heading2"/>
        <w:jc w:val="center"/>
        <w:rPr>
          <w:sz w:val="32"/>
          <w:szCs w:val="48"/>
        </w:rPr>
      </w:pPr>
      <w:r w:rsidRPr="007B5FCC">
        <w:rPr>
          <w:sz w:val="32"/>
          <w:szCs w:val="48"/>
        </w:rPr>
        <w:t>SECURITY + VISIBILITY</w:t>
      </w:r>
    </w:p>
    <w:p w14:paraId="7EC463EB" w14:textId="77777777" w:rsidR="0074078F" w:rsidRPr="0074078F" w:rsidRDefault="0074078F" w:rsidP="007A01D4">
      <w:pPr>
        <w:pStyle w:val="Heading2"/>
        <w:jc w:val="center"/>
        <w:rPr>
          <w:i/>
          <w:iCs/>
          <w:color w:val="595959" w:themeColor="text1" w:themeTint="A6"/>
          <w:sz w:val="24"/>
          <w:szCs w:val="40"/>
        </w:rPr>
      </w:pPr>
      <w:r w:rsidRPr="0074078F">
        <w:rPr>
          <w:i/>
          <w:iCs/>
          <w:color w:val="595959" w:themeColor="text1" w:themeTint="A6"/>
          <w:sz w:val="24"/>
          <w:szCs w:val="40"/>
        </w:rPr>
        <w:t>Blueshift, your single source for security visibility and performance monitoring</w:t>
      </w:r>
    </w:p>
    <w:p w14:paraId="4F3A3923" w14:textId="69F41A28" w:rsidR="0076792E" w:rsidRDefault="00095676" w:rsidP="00095676">
      <w:pPr>
        <w:rPr>
          <w:shd w:val="clear" w:color="auto" w:fill="FFFFFF"/>
          <w:lang w:val="en-AU" w:eastAsia="en-GB"/>
        </w:rPr>
      </w:pPr>
      <w:r w:rsidRPr="00095676">
        <w:rPr>
          <w:shd w:val="clear" w:color="auto" w:fill="FFFFFF"/>
          <w:lang w:val="en-AU" w:eastAsia="en-GB"/>
        </w:rPr>
        <w:t>Dabble Blueshift, a visibility platform providing detailed insight into network security and performance. Blueshift leverages leading edge data analysis</w:t>
      </w:r>
      <w:r w:rsidR="00180E30">
        <w:rPr>
          <w:shd w:val="clear" w:color="auto" w:fill="FFFFFF"/>
          <w:lang w:val="en-AU" w:eastAsia="en-GB"/>
        </w:rPr>
        <w:t>, threat detection</w:t>
      </w:r>
      <w:r w:rsidRPr="00095676">
        <w:rPr>
          <w:shd w:val="clear" w:color="auto" w:fill="FFFFFF"/>
          <w:lang w:val="en-AU" w:eastAsia="en-GB"/>
        </w:rPr>
        <w:t xml:space="preserve"> and </w:t>
      </w:r>
      <w:r>
        <w:rPr>
          <w:shd w:val="clear" w:color="auto" w:fill="FFFFFF"/>
          <w:lang w:val="en-AU" w:eastAsia="en-GB"/>
        </w:rPr>
        <w:t>classification</w:t>
      </w:r>
      <w:r w:rsidRPr="00095676">
        <w:rPr>
          <w:shd w:val="clear" w:color="auto" w:fill="FFFFFF"/>
          <w:lang w:val="en-AU" w:eastAsia="en-GB"/>
        </w:rPr>
        <w:t xml:space="preserve"> techniques to identify </w:t>
      </w:r>
      <w:r w:rsidR="007C20F6">
        <w:rPr>
          <w:shd w:val="clear" w:color="auto" w:fill="FFFFFF"/>
          <w:lang w:val="en-AU" w:eastAsia="en-GB"/>
        </w:rPr>
        <w:t xml:space="preserve">users, </w:t>
      </w:r>
      <w:r w:rsidRPr="00095676">
        <w:rPr>
          <w:shd w:val="clear" w:color="auto" w:fill="FFFFFF"/>
          <w:lang w:val="en-AU" w:eastAsia="en-GB"/>
        </w:rPr>
        <w:t xml:space="preserve">issues, trends and </w:t>
      </w:r>
      <w:r w:rsidR="00180E30">
        <w:rPr>
          <w:shd w:val="clear" w:color="auto" w:fill="FFFFFF"/>
          <w:lang w:val="en-AU" w:eastAsia="en-GB"/>
        </w:rPr>
        <w:t>security threats</w:t>
      </w:r>
      <w:r w:rsidRPr="00095676">
        <w:rPr>
          <w:shd w:val="clear" w:color="auto" w:fill="FFFFFF"/>
          <w:lang w:val="en-AU" w:eastAsia="en-GB"/>
        </w:rPr>
        <w:t xml:space="preserve"> across the enterprise.</w:t>
      </w:r>
    </w:p>
    <w:p w14:paraId="07AEDCD8" w14:textId="77777777" w:rsidR="00180E30" w:rsidRDefault="0076792E" w:rsidP="00095676">
      <w:pPr>
        <w:rPr>
          <w:shd w:val="clear" w:color="auto" w:fill="FFFFFF"/>
          <w:lang w:val="en-AU" w:eastAsia="en-GB"/>
        </w:rPr>
      </w:pPr>
      <w:r>
        <w:rPr>
          <w:shd w:val="clear" w:color="auto" w:fill="FFFFFF"/>
          <w:lang w:val="en-AU" w:eastAsia="en-GB"/>
        </w:rPr>
        <w:t>Information security issues are on the rise, yet many organisations still have limited or no visibility of traffic across the network. Blueshift couples the discipline of intrusion and threat detection with traditional performance management to provide a whole of network security and visibility solution.</w:t>
      </w:r>
    </w:p>
    <w:p w14:paraId="5A5AF7E0" w14:textId="549C7155" w:rsidR="00095676" w:rsidRDefault="00095676" w:rsidP="00095676">
      <w:pPr>
        <w:rPr>
          <w:shd w:val="clear" w:color="auto" w:fill="FFFFFF"/>
          <w:lang w:val="en-AU" w:eastAsia="en-GB"/>
        </w:rPr>
      </w:pPr>
      <w:r w:rsidRPr="00180E30">
        <w:rPr>
          <w:shd w:val="clear" w:color="auto" w:fill="FFFFFF"/>
          <w:lang w:val="en-AU" w:eastAsia="en-GB"/>
        </w:rPr>
        <w:t>Blueshift cuts through much of the technical jargon to present information about the ‘</w:t>
      </w:r>
      <w:proofErr w:type="gramStart"/>
      <w:r w:rsidRPr="00180E30">
        <w:rPr>
          <w:shd w:val="clear" w:color="auto" w:fill="FFFFFF"/>
          <w:lang w:val="en-AU" w:eastAsia="en-GB"/>
        </w:rPr>
        <w:t>who‘</w:t>
      </w:r>
      <w:proofErr w:type="gramEnd"/>
      <w:r w:rsidRPr="00180E30">
        <w:rPr>
          <w:shd w:val="clear" w:color="auto" w:fill="FFFFFF"/>
          <w:lang w:val="en-AU" w:eastAsia="en-GB"/>
        </w:rPr>
        <w:t>, ‘what‘ and ‘where‘ of network data flows. Unlike many pure performance monitoring offerings, information is collected from a variety of data sources to build an enriched data set for reporting.</w:t>
      </w:r>
    </w:p>
    <w:p w14:paraId="6EE4290F" w14:textId="33273076" w:rsidR="0076792E" w:rsidRDefault="0076792E" w:rsidP="00095676">
      <w:pPr>
        <w:rPr>
          <w:shd w:val="clear" w:color="auto" w:fill="FFFFFF"/>
          <w:lang w:val="en-AU" w:eastAsia="en-GB"/>
        </w:rPr>
      </w:pPr>
      <w:r>
        <w:rPr>
          <w:shd w:val="clear" w:color="auto" w:fill="FFFFFF"/>
          <w:lang w:val="en-AU" w:eastAsia="en-GB"/>
        </w:rPr>
        <w:t>Deployed as an appliance or virtual machine, Blueshift’s distributed architecture scales meet</w:t>
      </w:r>
      <w:r w:rsidR="0099724F">
        <w:rPr>
          <w:shd w:val="clear" w:color="auto" w:fill="FFFFFF"/>
          <w:lang w:val="en-AU" w:eastAsia="en-GB"/>
        </w:rPr>
        <w:t>s</w:t>
      </w:r>
      <w:r>
        <w:rPr>
          <w:shd w:val="clear" w:color="auto" w:fill="FFFFFF"/>
          <w:lang w:val="en-AU" w:eastAsia="en-GB"/>
        </w:rPr>
        <w:t xml:space="preserve"> the security and visibility requirements </w:t>
      </w:r>
      <w:r w:rsidR="0099724F">
        <w:rPr>
          <w:shd w:val="clear" w:color="auto" w:fill="FFFFFF"/>
          <w:lang w:val="en-AU" w:eastAsia="en-GB"/>
        </w:rPr>
        <w:t xml:space="preserve">of organisations scaling from </w:t>
      </w:r>
      <w:r>
        <w:rPr>
          <w:shd w:val="clear" w:color="auto" w:fill="FFFFFF"/>
          <w:lang w:val="en-AU" w:eastAsia="en-GB"/>
        </w:rPr>
        <w:t>small companies right through to large enterprise</w:t>
      </w:r>
      <w:r w:rsidR="0099724F">
        <w:rPr>
          <w:shd w:val="clear" w:color="auto" w:fill="FFFFFF"/>
          <w:lang w:val="en-AU" w:eastAsia="en-GB"/>
        </w:rPr>
        <w:t>.</w:t>
      </w:r>
    </w:p>
    <w:p w14:paraId="420818BD" w14:textId="77777777" w:rsidR="0076792E" w:rsidRDefault="0076792E" w:rsidP="00095676">
      <w:pPr>
        <w:rPr>
          <w:shd w:val="clear" w:color="auto" w:fill="FFFFFF"/>
          <w:lang w:val="en-AU" w:eastAsia="en-GB"/>
        </w:rPr>
      </w:pPr>
    </w:p>
    <w:p w14:paraId="4BA9E0E7" w14:textId="77777777" w:rsidR="0076792E" w:rsidRDefault="0074078F" w:rsidP="0076792E">
      <w:pPr>
        <w:pStyle w:val="Heading2"/>
        <w:rPr>
          <w:shd w:val="clear" w:color="auto" w:fill="FFFFFF"/>
          <w:lang w:val="en-AU" w:eastAsia="en-GB"/>
        </w:rPr>
      </w:pPr>
      <w:r>
        <w:rPr>
          <w:shd w:val="clear" w:color="auto" w:fill="FFFFFF"/>
          <w:lang w:val="en-AU" w:eastAsia="en-GB"/>
        </w:rPr>
        <w:t>At</w:t>
      </w:r>
      <w:r w:rsidR="00D808EF">
        <w:rPr>
          <w:shd w:val="clear" w:color="auto" w:fill="FFFFFF"/>
          <w:lang w:val="en-AU" w:eastAsia="en-GB"/>
        </w:rPr>
        <w:t xml:space="preserve"> a</w:t>
      </w:r>
      <w:r w:rsidR="0076792E">
        <w:rPr>
          <w:shd w:val="clear" w:color="auto" w:fill="FFFFFF"/>
          <w:lang w:val="en-AU" w:eastAsia="en-GB"/>
        </w:rPr>
        <w:t xml:space="preserve"> Glance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5"/>
        <w:gridCol w:w="4505"/>
      </w:tblGrid>
      <w:tr w:rsidR="004253CB" w14:paraId="63B9D6D2" w14:textId="77777777" w:rsidTr="004253CB">
        <w:tc>
          <w:tcPr>
            <w:tcW w:w="4505" w:type="dxa"/>
          </w:tcPr>
          <w:p w14:paraId="4F25DA61"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Threat Detection</w:t>
            </w:r>
          </w:p>
          <w:p w14:paraId="7A379A9E"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Real time performance monitoring</w:t>
            </w:r>
          </w:p>
          <w:p w14:paraId="4233A85E"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Location Analysis</w:t>
            </w:r>
          </w:p>
          <w:p w14:paraId="52CEF97C"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Packet Capture</w:t>
            </w:r>
          </w:p>
          <w:p w14:paraId="6945F3FE"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Capacity Planning</w:t>
            </w:r>
          </w:p>
          <w:p w14:paraId="3BAE5155"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Event and alerting</w:t>
            </w:r>
          </w:p>
          <w:p w14:paraId="2972FF99"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Deep packet inspection</w:t>
            </w:r>
          </w:p>
          <w:p w14:paraId="3BC462A1" w14:textId="77777777" w:rsidR="004253CB" w:rsidRDefault="004253CB" w:rsidP="004253CB">
            <w:pPr>
              <w:pStyle w:val="ListParagraph"/>
              <w:rPr>
                <w:shd w:val="clear" w:color="auto" w:fill="FFFFFF"/>
                <w:lang w:val="en-AU" w:eastAsia="en-GB"/>
              </w:rPr>
            </w:pPr>
          </w:p>
        </w:tc>
        <w:tc>
          <w:tcPr>
            <w:tcW w:w="4505" w:type="dxa"/>
          </w:tcPr>
          <w:p w14:paraId="7808905A"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Context sensitive dashboards</w:t>
            </w:r>
          </w:p>
          <w:p w14:paraId="7B96D30A"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Built in reports, volume, applications, protocols, top talkers, web sites, operating systems geo-IP and more…</w:t>
            </w:r>
          </w:p>
          <w:p w14:paraId="642B1AB2"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NetFlow collection</w:t>
            </w:r>
          </w:p>
          <w:p w14:paraId="64AC0670" w14:textId="77777777" w:rsid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Compatible with standard web browsers</w:t>
            </w:r>
          </w:p>
          <w:p w14:paraId="367FE67B" w14:textId="77777777" w:rsidR="004253CB" w:rsidRPr="004253CB" w:rsidRDefault="004253CB" w:rsidP="004253CB">
            <w:pPr>
              <w:pStyle w:val="ListParagraph"/>
              <w:numPr>
                <w:ilvl w:val="0"/>
                <w:numId w:val="7"/>
              </w:numPr>
              <w:rPr>
                <w:shd w:val="clear" w:color="auto" w:fill="FFFFFF"/>
                <w:lang w:val="en-AU" w:eastAsia="en-GB"/>
              </w:rPr>
            </w:pPr>
            <w:r>
              <w:rPr>
                <w:shd w:val="clear" w:color="auto" w:fill="FFFFFF"/>
                <w:lang w:val="en-AU" w:eastAsia="en-GB"/>
              </w:rPr>
              <w:t>Subnet Analysis</w:t>
            </w:r>
          </w:p>
        </w:tc>
      </w:tr>
    </w:tbl>
    <w:p w14:paraId="6B7323D5" w14:textId="77777777" w:rsidR="006D0CD8" w:rsidRDefault="00095676" w:rsidP="00095676">
      <w:pPr>
        <w:pStyle w:val="Heading2"/>
      </w:pPr>
      <w:r>
        <w:lastRenderedPageBreak/>
        <w:t>Threat Detection</w:t>
      </w:r>
    </w:p>
    <w:p w14:paraId="3B3291A6" w14:textId="22639031" w:rsidR="00740C2B" w:rsidRDefault="00740C2B" w:rsidP="00740C2B">
      <w:r>
        <w:t>The Blueshift Threat Detection Module is a passive system that brings real time visibility into potential network compromise.</w:t>
      </w:r>
      <w:r w:rsidR="00585083">
        <w:t xml:space="preserve"> The Threat Detection dashboard provides </w:t>
      </w:r>
      <w:r w:rsidR="005E52D1">
        <w:t>real time an</w:t>
      </w:r>
      <w:r w:rsidR="00987868">
        <w:t>d</w:t>
      </w:r>
      <w:r w:rsidR="005E52D1">
        <w:t xml:space="preserve"> historical </w:t>
      </w:r>
      <w:r w:rsidR="00987868">
        <w:t xml:space="preserve">view of identified threats </w:t>
      </w:r>
      <w:r w:rsidR="00B3716B">
        <w:t>with the ability to quickly drill down to specific timeframes or individual threats with a few simple clicks.</w:t>
      </w:r>
    </w:p>
    <w:p w14:paraId="1E0A5D1B" w14:textId="77777777" w:rsidR="00D808EF" w:rsidRDefault="00041216" w:rsidP="00041216">
      <w:pPr>
        <w:pStyle w:val="Heading2"/>
        <w:jc w:val="center"/>
      </w:pPr>
      <w:r>
        <w:rPr>
          <w:noProof/>
        </w:rPr>
        <w:drawing>
          <wp:inline distT="0" distB="0" distL="0" distR="0" wp14:anchorId="6E2B7AAE" wp14:editId="150E45B9">
            <wp:extent cx="3678841" cy="1918952"/>
            <wp:effectExtent l="0" t="0" r="4445" b="0"/>
            <wp:docPr id="1" name="Picture 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hreat_Detect_Dashboard.png"/>
                    <pic:cNvPicPr/>
                  </pic:nvPicPr>
                  <pic:blipFill>
                    <a:blip r:embed="rId11">
                      <a:extLst>
                        <a:ext uri="{28A0092B-C50C-407E-A947-70E740481C1C}">
                          <a14:useLocalDpi xmlns:a14="http://schemas.microsoft.com/office/drawing/2010/main" val="0"/>
                        </a:ext>
                      </a:extLst>
                    </a:blip>
                    <a:stretch>
                      <a:fillRect/>
                    </a:stretch>
                  </pic:blipFill>
                  <pic:spPr>
                    <a:xfrm>
                      <a:off x="0" y="0"/>
                      <a:ext cx="3697715" cy="1928797"/>
                    </a:xfrm>
                    <a:prstGeom prst="rect">
                      <a:avLst/>
                    </a:prstGeom>
                  </pic:spPr>
                </pic:pic>
              </a:graphicData>
            </a:graphic>
          </wp:inline>
        </w:drawing>
      </w:r>
    </w:p>
    <w:p w14:paraId="0EA29972" w14:textId="77777777" w:rsidR="00C1295B" w:rsidRDefault="00C1295B" w:rsidP="00041216">
      <w:pPr>
        <w:pStyle w:val="Heading2"/>
        <w:jc w:val="center"/>
      </w:pPr>
    </w:p>
    <w:p w14:paraId="0EE56C94" w14:textId="5E59A337" w:rsidR="00041216" w:rsidRDefault="17461A34" w:rsidP="17461A34">
      <w:pPr>
        <w:spacing w:before="0" w:after="0"/>
        <w:rPr>
          <w:lang w:val="en-AU" w:eastAsia="en-GB"/>
        </w:rPr>
      </w:pPr>
      <w:r>
        <w:t xml:space="preserve">The Blueshift Threat Detection module is a signature-based intrusion detection system that monitors incoming and outgoing network traffic for malicious activity and security policy violations. The Blueshift </w:t>
      </w:r>
      <w:r w:rsidR="00467C6F">
        <w:t>T</w:t>
      </w:r>
      <w:r>
        <w:t xml:space="preserve">hreat </w:t>
      </w:r>
      <w:r w:rsidR="00467C6F">
        <w:t>D</w:t>
      </w:r>
      <w:r>
        <w:t>etect</w:t>
      </w:r>
      <w:r w:rsidR="00467C6F">
        <w:t>ion</w:t>
      </w:r>
      <w:r>
        <w:t xml:space="preserve"> module acts as an intruder alarm, triggering an </w:t>
      </w:r>
      <w:r w:rsidR="00467C6F">
        <w:t>event</w:t>
      </w:r>
      <w:r>
        <w:t xml:space="preserve"> if there is indication of activity that could lead to network or data compromise. </w:t>
      </w:r>
      <w:r w:rsidRPr="17461A34">
        <w:rPr>
          <w:lang w:val="en-AU" w:eastAsia="en-GB"/>
        </w:rPr>
        <w:t>It does this by inspecting the packets that flow across the network in order to detect known indicators of compromise and traffic patterns that suggest suspicious activity.</w:t>
      </w:r>
    </w:p>
    <w:p w14:paraId="12832C28" w14:textId="340D61F7" w:rsidR="00095676" w:rsidRPr="00041216" w:rsidRDefault="00041216" w:rsidP="00041216">
      <w:pPr>
        <w:spacing w:before="0" w:after="0"/>
        <w:rPr>
          <w:rFonts w:ascii="Times New Roman" w:eastAsia="Times New Roman" w:hAnsi="Times New Roman" w:cs="Times New Roman"/>
          <w:sz w:val="24"/>
          <w:lang w:val="en-AU" w:eastAsia="en-GB"/>
        </w:rPr>
      </w:pPr>
      <w:r>
        <w:rPr>
          <w:lang w:val="en-AU" w:eastAsia="en-GB"/>
        </w:rPr>
        <w:t xml:space="preserve">Security </w:t>
      </w:r>
      <w:r w:rsidR="00467C6F">
        <w:rPr>
          <w:lang w:val="en-AU" w:eastAsia="en-GB"/>
        </w:rPr>
        <w:t xml:space="preserve">and threat </w:t>
      </w:r>
      <w:r>
        <w:rPr>
          <w:lang w:val="en-AU" w:eastAsia="en-GB"/>
        </w:rPr>
        <w:t>signature</w:t>
      </w:r>
      <w:r w:rsidR="00467C6F">
        <w:rPr>
          <w:lang w:val="en-AU" w:eastAsia="en-GB"/>
        </w:rPr>
        <w:t>s</w:t>
      </w:r>
      <w:r>
        <w:rPr>
          <w:lang w:val="en-AU" w:eastAsia="en-GB"/>
        </w:rPr>
        <w:t xml:space="preserve"> </w:t>
      </w:r>
      <w:r w:rsidR="00467C6F">
        <w:rPr>
          <w:lang w:val="en-AU" w:eastAsia="en-GB"/>
        </w:rPr>
        <w:t>are updated</w:t>
      </w:r>
      <w:r>
        <w:rPr>
          <w:lang w:val="en-AU" w:eastAsia="en-GB"/>
        </w:rPr>
        <w:t xml:space="preserve"> daily to ensure protection against the latest emerging and </w:t>
      </w:r>
      <w:proofErr w:type="gramStart"/>
      <w:r>
        <w:rPr>
          <w:lang w:val="en-AU" w:eastAsia="en-GB"/>
        </w:rPr>
        <w:t>zero day</w:t>
      </w:r>
      <w:proofErr w:type="gramEnd"/>
      <w:r>
        <w:rPr>
          <w:lang w:val="en-AU" w:eastAsia="en-GB"/>
        </w:rPr>
        <w:t xml:space="preserve"> </w:t>
      </w:r>
      <w:r w:rsidR="00467C6F">
        <w:rPr>
          <w:lang w:val="en-AU" w:eastAsia="en-GB"/>
        </w:rPr>
        <w:t>attacks</w:t>
      </w:r>
      <w:r>
        <w:rPr>
          <w:lang w:val="en-AU" w:eastAsia="en-GB"/>
        </w:rPr>
        <w:t xml:space="preserve"> identified in the wild. The Blueshift Threat Detection module is an essential part of ensuring network security and integrity.</w:t>
      </w:r>
    </w:p>
    <w:p w14:paraId="4D41AB75" w14:textId="77777777" w:rsidR="00095676" w:rsidRDefault="00095676" w:rsidP="00095676">
      <w:pPr>
        <w:pStyle w:val="Heading2"/>
      </w:pPr>
      <w:r>
        <w:t>Performance Monitoring</w:t>
      </w:r>
      <w:r w:rsidR="007E2A53">
        <w:t xml:space="preserve"> and Reporting</w:t>
      </w:r>
    </w:p>
    <w:p w14:paraId="6B5B98CB" w14:textId="01B33EA3" w:rsidR="007E2A53" w:rsidRPr="007E2A53" w:rsidRDefault="007E2A53" w:rsidP="007E2A53">
      <w:pPr>
        <w:rPr>
          <w:lang w:val="en-AU" w:eastAsia="en-GB"/>
        </w:rPr>
      </w:pPr>
      <w:r w:rsidRPr="007E2A53">
        <w:rPr>
          <w:lang w:val="en-AU" w:eastAsia="en-GB"/>
        </w:rPr>
        <w:t xml:space="preserve">Data collection, user centric monitoring, data enrichment and deep packet inspection are all critical elements in providing security and visibility solutions but are meaningless without clear and concise information presentation. Blueshift is built with an easy to use intuitive </w:t>
      </w:r>
      <w:r w:rsidR="00467C6F" w:rsidRPr="007E2A53">
        <w:rPr>
          <w:lang w:val="en-AU" w:eastAsia="en-GB"/>
        </w:rPr>
        <w:t>web-based</w:t>
      </w:r>
      <w:r w:rsidRPr="007E2A53">
        <w:rPr>
          <w:lang w:val="en-AU" w:eastAsia="en-GB"/>
        </w:rPr>
        <w:t xml:space="preserve"> interface that allows seamless access to performance and security information to assess the health of the network.</w:t>
      </w:r>
    </w:p>
    <w:p w14:paraId="3401962A" w14:textId="2D7C7B43" w:rsidR="007E2A53" w:rsidRPr="007E2A53" w:rsidRDefault="007E2A53" w:rsidP="007E2A53">
      <w:pPr>
        <w:rPr>
          <w:lang w:val="en-AU" w:eastAsia="en-GB"/>
        </w:rPr>
      </w:pPr>
      <w:r w:rsidRPr="007E2A53">
        <w:rPr>
          <w:lang w:val="en-AU" w:eastAsia="en-GB"/>
        </w:rPr>
        <w:t xml:space="preserve">A series of views provide the ability to take a </w:t>
      </w:r>
      <w:r w:rsidR="00BF5E93" w:rsidRPr="007E2A53">
        <w:rPr>
          <w:lang w:val="en-AU" w:eastAsia="en-GB"/>
        </w:rPr>
        <w:t>high-level</w:t>
      </w:r>
      <w:r w:rsidRPr="007E2A53">
        <w:rPr>
          <w:lang w:val="en-AU" w:eastAsia="en-GB"/>
        </w:rPr>
        <w:t xml:space="preserve"> view of overall performance with the ability to drill down to granular information right down to individual network flows in just a few clicks. The graphs are context sensitive or ‘clickable’ to quickly identify areas of interest. For example, if Facebook traffic is of interest, simply click on the Facebook slice of the application pie chart to quickly and easily identify associated information such as top talkers, conversations utilisation.</w:t>
      </w:r>
    </w:p>
    <w:p w14:paraId="3BEA8AD2" w14:textId="77777777" w:rsidR="007E2A53" w:rsidRDefault="007E2A53" w:rsidP="007E2A53">
      <w:pPr>
        <w:rPr>
          <w:lang w:val="en-AU" w:eastAsia="en-GB"/>
        </w:rPr>
      </w:pPr>
      <w:r w:rsidRPr="007E2A53">
        <w:rPr>
          <w:lang w:val="en-AU" w:eastAsia="en-GB"/>
        </w:rPr>
        <w:t>There are a number of other views that present visibility information graphically or schedule reports for IP accounting.  Put simply, Blueshift is a complete visibility window to the network.</w:t>
      </w:r>
    </w:p>
    <w:p w14:paraId="2FDC71A8" w14:textId="77777777" w:rsidR="007E2A53" w:rsidRDefault="007E2A53" w:rsidP="007E2A53">
      <w:pPr>
        <w:rPr>
          <w:lang w:val="en-AU" w:eastAsia="en-GB"/>
        </w:rPr>
      </w:pPr>
    </w:p>
    <w:p w14:paraId="37010BEE" w14:textId="77777777" w:rsidR="007E2A53" w:rsidRPr="007E2A53" w:rsidRDefault="007E2A53" w:rsidP="007E2A53">
      <w:pPr>
        <w:pStyle w:val="Heading3"/>
        <w:rPr>
          <w:rFonts w:eastAsia="Times New Roman"/>
          <w:lang w:val="en-AU"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09"/>
        <w:gridCol w:w="411"/>
        <w:gridCol w:w="25"/>
        <w:gridCol w:w="436"/>
        <w:gridCol w:w="4339"/>
      </w:tblGrid>
      <w:tr w:rsidR="00D23D8E" w14:paraId="418C4540" w14:textId="77777777" w:rsidTr="17461A34">
        <w:tc>
          <w:tcPr>
            <w:tcW w:w="4607" w:type="dxa"/>
            <w:gridSpan w:val="3"/>
          </w:tcPr>
          <w:p w14:paraId="3E337164" w14:textId="77777777" w:rsidR="007E2A53" w:rsidRPr="007E2A53" w:rsidRDefault="007E2A53" w:rsidP="007E2A53">
            <w:pPr>
              <w:rPr>
                <w:b/>
                <w:bCs/>
              </w:rPr>
            </w:pPr>
            <w:r w:rsidRPr="007E2A53">
              <w:rPr>
                <w:b/>
                <w:bCs/>
              </w:rPr>
              <w:t>Blueshift Dashboard View</w:t>
            </w:r>
          </w:p>
          <w:p w14:paraId="5691F18D" w14:textId="77777777" w:rsidR="007E2A53" w:rsidRPr="007E2A53" w:rsidRDefault="007E2A53" w:rsidP="007E2A53">
            <w:pPr>
              <w:rPr>
                <w:sz w:val="21"/>
                <w:szCs w:val="21"/>
              </w:rPr>
            </w:pPr>
            <w:r w:rsidRPr="007E2A53">
              <w:rPr>
                <w:sz w:val="21"/>
                <w:szCs w:val="21"/>
              </w:rPr>
              <w:t>The interactive Blueshift dashboard allows quick drill downs from high level enterprise wide data through to isolating individual applications flows in just a few clicks. Dashboard charts are all context sensitive to facilitate complex filters quickly and easily.</w:t>
            </w:r>
          </w:p>
          <w:p w14:paraId="37ECA177" w14:textId="77777777" w:rsidR="007E2A53" w:rsidRDefault="007E2A53" w:rsidP="007E2A53">
            <w:pPr>
              <w:rPr>
                <w:color w:val="595959" w:themeColor="text1" w:themeTint="A6"/>
              </w:rPr>
            </w:pPr>
          </w:p>
          <w:p w14:paraId="0BFB13A5" w14:textId="77777777" w:rsidR="00D23D8E" w:rsidRDefault="00D23D8E" w:rsidP="007E2A53">
            <w:pPr>
              <w:rPr>
                <w:color w:val="595959" w:themeColor="text1" w:themeTint="A6"/>
              </w:rPr>
            </w:pPr>
          </w:p>
          <w:p w14:paraId="3A2D6A5F" w14:textId="77777777" w:rsidR="00D23D8E" w:rsidRDefault="00D23D8E" w:rsidP="007E2A53">
            <w:pPr>
              <w:rPr>
                <w:color w:val="595959" w:themeColor="text1" w:themeTint="A6"/>
              </w:rPr>
            </w:pPr>
          </w:p>
          <w:p w14:paraId="7B5698A6" w14:textId="77777777" w:rsidR="00D23D8E" w:rsidRPr="007E2A53" w:rsidRDefault="00D23D8E" w:rsidP="007E2A53">
            <w:pPr>
              <w:rPr>
                <w:color w:val="595959" w:themeColor="text1" w:themeTint="A6"/>
              </w:rPr>
            </w:pPr>
          </w:p>
        </w:tc>
        <w:tc>
          <w:tcPr>
            <w:tcW w:w="4403" w:type="dxa"/>
            <w:gridSpan w:val="2"/>
          </w:tcPr>
          <w:p w14:paraId="442B05DA" w14:textId="77777777" w:rsidR="007E2A53" w:rsidRDefault="007E2A53" w:rsidP="007E2A53">
            <w:r>
              <w:rPr>
                <w:noProof/>
              </w:rPr>
              <w:drawing>
                <wp:inline distT="0" distB="0" distL="0" distR="0" wp14:anchorId="51777DA1" wp14:editId="701B59E2">
                  <wp:extent cx="3180454" cy="1519707"/>
                  <wp:effectExtent l="0" t="0" r="0" b="4445"/>
                  <wp:docPr id="15" name="Picture 1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erformance_dashboard.png"/>
                          <pic:cNvPicPr/>
                        </pic:nvPicPr>
                        <pic:blipFill>
                          <a:blip r:embed="rId12">
                            <a:extLst>
                              <a:ext uri="{28A0092B-C50C-407E-A947-70E740481C1C}">
                                <a14:useLocalDpi xmlns:a14="http://schemas.microsoft.com/office/drawing/2010/main" val="0"/>
                              </a:ext>
                            </a:extLst>
                          </a:blip>
                          <a:stretch>
                            <a:fillRect/>
                          </a:stretch>
                        </pic:blipFill>
                        <pic:spPr>
                          <a:xfrm>
                            <a:off x="0" y="0"/>
                            <a:ext cx="3190982" cy="1524738"/>
                          </a:xfrm>
                          <a:prstGeom prst="rect">
                            <a:avLst/>
                          </a:prstGeom>
                        </pic:spPr>
                      </pic:pic>
                    </a:graphicData>
                  </a:graphic>
                </wp:inline>
              </w:drawing>
            </w:r>
          </w:p>
        </w:tc>
      </w:tr>
      <w:tr w:rsidR="00D23D8E" w14:paraId="44F39CAD" w14:textId="77777777" w:rsidTr="17461A34">
        <w:tc>
          <w:tcPr>
            <w:tcW w:w="4573" w:type="dxa"/>
            <w:gridSpan w:val="2"/>
            <w:vAlign w:val="center"/>
          </w:tcPr>
          <w:p w14:paraId="3D4985E9" w14:textId="77777777" w:rsidR="007E2A53" w:rsidRDefault="007E2A53" w:rsidP="007E2A53">
            <w:pPr>
              <w:jc w:val="center"/>
            </w:pPr>
            <w:r>
              <w:rPr>
                <w:noProof/>
              </w:rPr>
              <w:drawing>
                <wp:inline distT="0" distB="0" distL="0" distR="0" wp14:anchorId="2C1F2310" wp14:editId="6C74CB08">
                  <wp:extent cx="2790678" cy="1658146"/>
                  <wp:effectExtent l="0" t="0" r="635" b="5715"/>
                  <wp:docPr id="39098305" name="Picture 16" descr="A picture containing black, road, moni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13">
                            <a:extLst>
                              <a:ext uri="{28A0092B-C50C-407E-A947-70E740481C1C}">
                                <a14:useLocalDpi xmlns:a14="http://schemas.microsoft.com/office/drawing/2010/main" val="0"/>
                              </a:ext>
                            </a:extLst>
                          </a:blip>
                          <a:stretch>
                            <a:fillRect/>
                          </a:stretch>
                        </pic:blipFill>
                        <pic:spPr>
                          <a:xfrm>
                            <a:off x="0" y="0"/>
                            <a:ext cx="2790678" cy="1658146"/>
                          </a:xfrm>
                          <a:prstGeom prst="rect">
                            <a:avLst/>
                          </a:prstGeom>
                        </pic:spPr>
                      </pic:pic>
                    </a:graphicData>
                  </a:graphic>
                </wp:inline>
              </w:drawing>
            </w:r>
          </w:p>
        </w:tc>
        <w:tc>
          <w:tcPr>
            <w:tcW w:w="4437" w:type="dxa"/>
            <w:gridSpan w:val="3"/>
            <w:vAlign w:val="center"/>
          </w:tcPr>
          <w:p w14:paraId="48A3176E" w14:textId="77777777" w:rsidR="007E2A53" w:rsidRPr="007E2A53" w:rsidRDefault="007E2A53" w:rsidP="00740C2B">
            <w:pPr>
              <w:rPr>
                <w:b/>
                <w:bCs/>
              </w:rPr>
            </w:pPr>
            <w:r w:rsidRPr="007E2A53">
              <w:rPr>
                <w:b/>
                <w:bCs/>
              </w:rPr>
              <w:t>Blueshift Summary View</w:t>
            </w:r>
          </w:p>
          <w:p w14:paraId="33C6C45B" w14:textId="77777777" w:rsidR="007E2A53" w:rsidRPr="007E2A53" w:rsidRDefault="007E2A53" w:rsidP="00740C2B">
            <w:pPr>
              <w:rPr>
                <w:sz w:val="21"/>
                <w:szCs w:val="21"/>
              </w:rPr>
            </w:pPr>
            <w:r w:rsidRPr="007E2A53">
              <w:rPr>
                <w:sz w:val="21"/>
                <w:szCs w:val="21"/>
              </w:rPr>
              <w:t>Network traffic can be configured to be displayed by subnet, site or groups of sites to display a quick summary of overall usage. The summary view provides a snapshot of performance across the entire enterprise quickly highlighting sites that may be experiencing performance issues.</w:t>
            </w:r>
          </w:p>
          <w:p w14:paraId="6B67B863" w14:textId="77777777" w:rsidR="00D23D8E" w:rsidRPr="007E2A53" w:rsidRDefault="007E2A53" w:rsidP="00740C2B">
            <w:pPr>
              <w:rPr>
                <w:sz w:val="21"/>
                <w:szCs w:val="21"/>
              </w:rPr>
            </w:pPr>
            <w:r w:rsidRPr="007E2A53">
              <w:rPr>
                <w:sz w:val="21"/>
                <w:szCs w:val="21"/>
              </w:rPr>
              <w:t>More details can be accessed by clicking on the various links on the summary page to identify site or group specific information</w:t>
            </w:r>
          </w:p>
          <w:p w14:paraId="0519AC4C" w14:textId="77777777" w:rsidR="007E2A53" w:rsidRDefault="007E2A53" w:rsidP="00740C2B"/>
        </w:tc>
      </w:tr>
      <w:tr w:rsidR="00D23D8E" w14:paraId="4A6DBB62" w14:textId="77777777" w:rsidTr="17461A34">
        <w:tc>
          <w:tcPr>
            <w:tcW w:w="3980" w:type="dxa"/>
          </w:tcPr>
          <w:p w14:paraId="50CE741C" w14:textId="77777777" w:rsidR="00740C2B" w:rsidRDefault="00740C2B" w:rsidP="007E2A53">
            <w:pPr>
              <w:rPr>
                <w:b/>
                <w:bCs/>
              </w:rPr>
            </w:pPr>
          </w:p>
          <w:p w14:paraId="1B493928" w14:textId="77777777" w:rsidR="007E2A53" w:rsidRPr="007E2A53" w:rsidRDefault="007E2A53" w:rsidP="007E2A53">
            <w:pPr>
              <w:rPr>
                <w:b/>
                <w:bCs/>
              </w:rPr>
            </w:pPr>
            <w:r w:rsidRPr="007E2A53">
              <w:rPr>
                <w:b/>
                <w:bCs/>
              </w:rPr>
              <w:t>Blueshift Topology View</w:t>
            </w:r>
          </w:p>
          <w:p w14:paraId="632264FB" w14:textId="77777777" w:rsidR="007E2A53" w:rsidRPr="007E2A53" w:rsidRDefault="007E2A53" w:rsidP="007E2A53">
            <w:pPr>
              <w:rPr>
                <w:sz w:val="21"/>
                <w:szCs w:val="21"/>
              </w:rPr>
            </w:pPr>
            <w:r w:rsidRPr="007E2A53">
              <w:rPr>
                <w:sz w:val="21"/>
                <w:szCs w:val="21"/>
              </w:rPr>
              <w:t>The topology view provides a more graphical view of the network.  Network traffic flows can be represented via the topology view to identify the movement of application traffic across the network.</w:t>
            </w:r>
          </w:p>
          <w:p w14:paraId="3988ECE4" w14:textId="77777777" w:rsidR="007E2A53" w:rsidRPr="007E2A53" w:rsidRDefault="007E2A53" w:rsidP="007E2A53">
            <w:pPr>
              <w:rPr>
                <w:sz w:val="21"/>
                <w:szCs w:val="21"/>
              </w:rPr>
            </w:pPr>
            <w:r w:rsidRPr="007E2A53">
              <w:rPr>
                <w:sz w:val="21"/>
                <w:szCs w:val="21"/>
              </w:rPr>
              <w:t>Similar to the summary view, more information is available by clicking on the various nodes in the topology view to display more detailed information.</w:t>
            </w:r>
          </w:p>
          <w:p w14:paraId="54F4BC65" w14:textId="77777777" w:rsidR="007E2A53" w:rsidRPr="007E2A53" w:rsidRDefault="007E2A53" w:rsidP="007E2A53"/>
        </w:tc>
        <w:tc>
          <w:tcPr>
            <w:tcW w:w="5030" w:type="dxa"/>
            <w:gridSpan w:val="4"/>
          </w:tcPr>
          <w:p w14:paraId="4BEC592A" w14:textId="77777777" w:rsidR="00740C2B" w:rsidRDefault="00740C2B" w:rsidP="007E2A53"/>
          <w:p w14:paraId="45257E5E" w14:textId="77777777" w:rsidR="007E2A53" w:rsidRDefault="00D23D8E" w:rsidP="007E2A53">
            <w:r>
              <w:rPr>
                <w:noProof/>
              </w:rPr>
              <w:drawing>
                <wp:inline distT="0" distB="0" distL="0" distR="0" wp14:anchorId="1AFC52B2" wp14:editId="5CFD31C8">
                  <wp:extent cx="3057037" cy="1596980"/>
                  <wp:effectExtent l="0" t="0" r="3810" b="3810"/>
                  <wp:docPr id="17" name="Picture 17"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opology-annotation.png"/>
                          <pic:cNvPicPr/>
                        </pic:nvPicPr>
                        <pic:blipFill>
                          <a:blip r:embed="rId14">
                            <a:extLst>
                              <a:ext uri="{28A0092B-C50C-407E-A947-70E740481C1C}">
                                <a14:useLocalDpi xmlns:a14="http://schemas.microsoft.com/office/drawing/2010/main" val="0"/>
                              </a:ext>
                            </a:extLst>
                          </a:blip>
                          <a:stretch>
                            <a:fillRect/>
                          </a:stretch>
                        </pic:blipFill>
                        <pic:spPr>
                          <a:xfrm>
                            <a:off x="0" y="0"/>
                            <a:ext cx="3089990" cy="1614194"/>
                          </a:xfrm>
                          <a:prstGeom prst="rect">
                            <a:avLst/>
                          </a:prstGeom>
                        </pic:spPr>
                      </pic:pic>
                    </a:graphicData>
                  </a:graphic>
                </wp:inline>
              </w:drawing>
            </w:r>
          </w:p>
        </w:tc>
      </w:tr>
      <w:tr w:rsidR="00D23D8E" w14:paraId="5225F1E0" w14:textId="77777777" w:rsidTr="17461A34">
        <w:tc>
          <w:tcPr>
            <w:tcW w:w="5098" w:type="dxa"/>
            <w:gridSpan w:val="4"/>
          </w:tcPr>
          <w:p w14:paraId="6EBA7345" w14:textId="77777777" w:rsidR="00740C2B" w:rsidRDefault="00740C2B" w:rsidP="007E2A53"/>
          <w:p w14:paraId="01E501A6" w14:textId="77777777" w:rsidR="007E2A53" w:rsidRDefault="00D23D8E" w:rsidP="007E2A53">
            <w:r>
              <w:rPr>
                <w:noProof/>
              </w:rPr>
              <w:drawing>
                <wp:inline distT="0" distB="0" distL="0" distR="0" wp14:anchorId="786BAB8E" wp14:editId="55A167FC">
                  <wp:extent cx="2975020" cy="1589756"/>
                  <wp:effectExtent l="0" t="0" r="0" b="0"/>
                  <wp:docPr id="18" name="Picture 18"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apacity_planning_dashboard.png"/>
                          <pic:cNvPicPr/>
                        </pic:nvPicPr>
                        <pic:blipFill>
                          <a:blip r:embed="rId15">
                            <a:extLst>
                              <a:ext uri="{28A0092B-C50C-407E-A947-70E740481C1C}">
                                <a14:useLocalDpi xmlns:a14="http://schemas.microsoft.com/office/drawing/2010/main" val="0"/>
                              </a:ext>
                            </a:extLst>
                          </a:blip>
                          <a:stretch>
                            <a:fillRect/>
                          </a:stretch>
                        </pic:blipFill>
                        <pic:spPr>
                          <a:xfrm>
                            <a:off x="0" y="0"/>
                            <a:ext cx="2999338" cy="1602751"/>
                          </a:xfrm>
                          <a:prstGeom prst="rect">
                            <a:avLst/>
                          </a:prstGeom>
                        </pic:spPr>
                      </pic:pic>
                    </a:graphicData>
                  </a:graphic>
                </wp:inline>
              </w:drawing>
            </w:r>
          </w:p>
        </w:tc>
        <w:tc>
          <w:tcPr>
            <w:tcW w:w="3912" w:type="dxa"/>
          </w:tcPr>
          <w:p w14:paraId="497D0037" w14:textId="77777777" w:rsidR="00740C2B" w:rsidRDefault="00740C2B" w:rsidP="00D23D8E">
            <w:pPr>
              <w:rPr>
                <w:b/>
                <w:bCs/>
              </w:rPr>
            </w:pPr>
          </w:p>
          <w:p w14:paraId="5B7E1FB0" w14:textId="77777777" w:rsidR="00D23D8E" w:rsidRPr="00D23D8E" w:rsidRDefault="00D23D8E" w:rsidP="00D23D8E">
            <w:pPr>
              <w:rPr>
                <w:b/>
                <w:bCs/>
              </w:rPr>
            </w:pPr>
            <w:r w:rsidRPr="00D23D8E">
              <w:rPr>
                <w:b/>
                <w:bCs/>
              </w:rPr>
              <w:t>Blueshift Capacity View</w:t>
            </w:r>
          </w:p>
          <w:p w14:paraId="10928E63" w14:textId="77777777" w:rsidR="00D23D8E" w:rsidRDefault="00D23D8E" w:rsidP="00D23D8E">
            <w:r>
              <w:t>The ability to schedule reports to display long term capacity data is essential to identify long term trends or IP accounting.</w:t>
            </w:r>
          </w:p>
          <w:p w14:paraId="616D3192" w14:textId="77777777" w:rsidR="00D23D8E" w:rsidRDefault="00D23D8E" w:rsidP="00D23D8E">
            <w:r>
              <w:t>The Blueshift Capacity view allows for long term historical reports to be generated ad hoc or scheduled daily, weekly or monthly runs.</w:t>
            </w:r>
          </w:p>
          <w:p w14:paraId="3513A46D" w14:textId="77777777" w:rsidR="00D23D8E" w:rsidRDefault="00D23D8E" w:rsidP="00D23D8E">
            <w:r>
              <w:t>Capacity reports are available via the web interface or downloaded as CSV files.</w:t>
            </w:r>
          </w:p>
          <w:p w14:paraId="4D97C323" w14:textId="77777777" w:rsidR="007E2A53" w:rsidRDefault="007E2A53" w:rsidP="007E2A53"/>
        </w:tc>
      </w:tr>
    </w:tbl>
    <w:p w14:paraId="14BD0840" w14:textId="77777777" w:rsidR="007E2A53" w:rsidRDefault="007E2A53" w:rsidP="007E2A53"/>
    <w:p w14:paraId="32F24BFA" w14:textId="77777777" w:rsidR="00095676" w:rsidRDefault="00095676" w:rsidP="00095676">
      <w:pPr>
        <w:pStyle w:val="Heading2"/>
      </w:pPr>
    </w:p>
    <w:p w14:paraId="14598FAA" w14:textId="77777777" w:rsidR="00095676" w:rsidRDefault="00095676" w:rsidP="00095676">
      <w:pPr>
        <w:pStyle w:val="Heading2"/>
      </w:pPr>
      <w:r>
        <w:t xml:space="preserve">Application </w:t>
      </w:r>
      <w:r w:rsidR="00041216">
        <w:t>Classification</w:t>
      </w:r>
    </w:p>
    <w:p w14:paraId="4AE91811" w14:textId="77777777" w:rsidR="00041216" w:rsidRPr="00041216" w:rsidRDefault="00041216" w:rsidP="00041216">
      <w:pPr>
        <w:rPr>
          <w:lang w:val="en-AU" w:eastAsia="en-GB"/>
        </w:rPr>
      </w:pPr>
      <w:r w:rsidRPr="00041216">
        <w:rPr>
          <w:lang w:val="en-AU" w:eastAsia="en-GB"/>
        </w:rPr>
        <w:t>Blueshift uses a combination of techniques including deep packet inspection and certificate inspection to achieve comprehensive application classification for both encrypted and non-encrypted traffic.</w:t>
      </w:r>
    </w:p>
    <w:p w14:paraId="6B4D1D90" w14:textId="77777777" w:rsidR="00041216" w:rsidRDefault="00041216" w:rsidP="00041216">
      <w:pPr>
        <w:rPr>
          <w:lang w:val="en-AU" w:eastAsia="en-GB"/>
        </w:rPr>
      </w:pPr>
      <w:r w:rsidRPr="00041216">
        <w:rPr>
          <w:lang w:val="en-AU" w:eastAsia="en-GB"/>
        </w:rPr>
        <w:t>Application information is presented via the Blueshift context sensitive dashboard allowing fast drill downs to identify application usage for the entire network, specific subnets or even individual users and hosts.</w:t>
      </w:r>
    </w:p>
    <w:p w14:paraId="087411E8" w14:textId="77777777" w:rsidR="00041216" w:rsidRDefault="00041216" w:rsidP="00041216">
      <w:pPr>
        <w:rPr>
          <w:lang w:val="en-AU"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8"/>
        <w:gridCol w:w="3005"/>
        <w:gridCol w:w="3007"/>
      </w:tblGrid>
      <w:tr w:rsidR="00A66EBD" w14:paraId="0E1E1D46" w14:textId="77777777" w:rsidTr="0017117C">
        <w:tc>
          <w:tcPr>
            <w:tcW w:w="3003" w:type="dxa"/>
          </w:tcPr>
          <w:p w14:paraId="67DF96AB" w14:textId="77777777" w:rsidR="00A66EBD" w:rsidRDefault="00A66EBD" w:rsidP="00A66EBD">
            <w:pPr>
              <w:jc w:val="center"/>
              <w:rPr>
                <w:lang w:val="en-AU" w:eastAsia="en-GB"/>
              </w:rPr>
            </w:pPr>
            <w:r w:rsidRPr="00A66EBD">
              <w:rPr>
                <w:noProof/>
                <w:lang w:val="en-AU" w:eastAsia="en-GB"/>
              </w:rPr>
              <w:drawing>
                <wp:inline distT="0" distB="0" distL="0" distR="0" wp14:anchorId="5DE3DA0F" wp14:editId="09314F43">
                  <wp:extent cx="1868400" cy="1512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868400" cy="1512000"/>
                          </a:xfrm>
                          <a:prstGeom prst="rect">
                            <a:avLst/>
                          </a:prstGeom>
                        </pic:spPr>
                      </pic:pic>
                    </a:graphicData>
                  </a:graphic>
                </wp:inline>
              </w:drawing>
            </w:r>
          </w:p>
        </w:tc>
        <w:tc>
          <w:tcPr>
            <w:tcW w:w="3003" w:type="dxa"/>
          </w:tcPr>
          <w:p w14:paraId="07A41077" w14:textId="77777777" w:rsidR="00A66EBD" w:rsidRDefault="00A66EBD" w:rsidP="00A66EBD">
            <w:pPr>
              <w:jc w:val="center"/>
              <w:rPr>
                <w:lang w:val="en-AU" w:eastAsia="en-GB"/>
              </w:rPr>
            </w:pPr>
            <w:r w:rsidRPr="00A66EBD">
              <w:rPr>
                <w:noProof/>
                <w:lang w:val="en-AU" w:eastAsia="en-GB"/>
              </w:rPr>
              <w:drawing>
                <wp:inline distT="0" distB="0" distL="0" distR="0" wp14:anchorId="43BA80B3" wp14:editId="64E8382E">
                  <wp:extent cx="1861200" cy="1512000"/>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61200" cy="1512000"/>
                          </a:xfrm>
                          <a:prstGeom prst="rect">
                            <a:avLst/>
                          </a:prstGeom>
                        </pic:spPr>
                      </pic:pic>
                    </a:graphicData>
                  </a:graphic>
                </wp:inline>
              </w:drawing>
            </w:r>
          </w:p>
        </w:tc>
        <w:tc>
          <w:tcPr>
            <w:tcW w:w="3004" w:type="dxa"/>
          </w:tcPr>
          <w:p w14:paraId="3C185FC0" w14:textId="77777777" w:rsidR="00A66EBD" w:rsidRDefault="0017117C" w:rsidP="0017117C">
            <w:pPr>
              <w:jc w:val="center"/>
              <w:rPr>
                <w:lang w:val="en-AU" w:eastAsia="en-GB"/>
              </w:rPr>
            </w:pPr>
            <w:r w:rsidRPr="0017117C">
              <w:rPr>
                <w:noProof/>
                <w:lang w:val="en-AU" w:eastAsia="en-GB"/>
              </w:rPr>
              <w:drawing>
                <wp:inline distT="0" distB="0" distL="0" distR="0" wp14:anchorId="3BC01ECB" wp14:editId="546A22AB">
                  <wp:extent cx="1861200" cy="1512000"/>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861200" cy="1512000"/>
                          </a:xfrm>
                          <a:prstGeom prst="rect">
                            <a:avLst/>
                          </a:prstGeom>
                        </pic:spPr>
                      </pic:pic>
                    </a:graphicData>
                  </a:graphic>
                </wp:inline>
              </w:drawing>
            </w:r>
          </w:p>
        </w:tc>
      </w:tr>
      <w:tr w:rsidR="00A66EBD" w14:paraId="5D3F2055" w14:textId="77777777" w:rsidTr="0017117C">
        <w:tc>
          <w:tcPr>
            <w:tcW w:w="3003" w:type="dxa"/>
          </w:tcPr>
          <w:p w14:paraId="3455B5B6" w14:textId="77777777" w:rsidR="00A66EBD" w:rsidRPr="00A66EBD" w:rsidRDefault="00A66EBD" w:rsidP="00A66EBD">
            <w:pPr>
              <w:rPr>
                <w:b/>
                <w:bCs/>
              </w:rPr>
            </w:pPr>
            <w:r w:rsidRPr="00A66EBD">
              <w:rPr>
                <w:b/>
                <w:bCs/>
              </w:rPr>
              <w:t>Address Type</w:t>
            </w:r>
          </w:p>
          <w:p w14:paraId="5728D232" w14:textId="77777777" w:rsidR="00A66EBD" w:rsidRDefault="00A66EBD" w:rsidP="00A66EBD">
            <w:r>
              <w:t>Identify the address or packet type of traffic traversing the network – unicast, multicast or broadcast. Packet type monitoring provides an effective indicator of potential security issues across the enterprise.</w:t>
            </w:r>
          </w:p>
          <w:p w14:paraId="5414A227" w14:textId="77777777" w:rsidR="0017117C" w:rsidRPr="00A66EBD" w:rsidRDefault="0017117C" w:rsidP="00A66EBD"/>
        </w:tc>
        <w:tc>
          <w:tcPr>
            <w:tcW w:w="3003" w:type="dxa"/>
          </w:tcPr>
          <w:p w14:paraId="369D91C7" w14:textId="77777777" w:rsidR="00A66EBD" w:rsidRPr="00A66EBD" w:rsidRDefault="00A66EBD" w:rsidP="00A66EBD">
            <w:pPr>
              <w:rPr>
                <w:b/>
                <w:bCs/>
              </w:rPr>
            </w:pPr>
            <w:r w:rsidRPr="00A66EBD">
              <w:rPr>
                <w:b/>
                <w:bCs/>
              </w:rPr>
              <w:t>IP Type</w:t>
            </w:r>
          </w:p>
          <w:p w14:paraId="55EE5070" w14:textId="77777777" w:rsidR="00A66EBD" w:rsidRPr="00A66EBD" w:rsidRDefault="00A66EBD" w:rsidP="00A66EBD">
            <w:r w:rsidRPr="00A66EBD">
              <w:t>Displaying the underlying IP protocol used such as TCP, UDP, ICMP and so on. Ongoing collection of IP type assists in traffic profiling to help define network normal.</w:t>
            </w:r>
          </w:p>
          <w:p w14:paraId="3290CE07" w14:textId="77777777" w:rsidR="00A66EBD" w:rsidRDefault="00A66EBD" w:rsidP="00041216">
            <w:pPr>
              <w:rPr>
                <w:lang w:val="en-AU" w:eastAsia="en-GB"/>
              </w:rPr>
            </w:pPr>
          </w:p>
        </w:tc>
        <w:tc>
          <w:tcPr>
            <w:tcW w:w="3004" w:type="dxa"/>
          </w:tcPr>
          <w:p w14:paraId="783CA740" w14:textId="77777777" w:rsidR="00A66EBD" w:rsidRPr="00A66EBD" w:rsidRDefault="0017117C" w:rsidP="00A66EBD">
            <w:pPr>
              <w:rPr>
                <w:b/>
                <w:bCs/>
              </w:rPr>
            </w:pPr>
            <w:r>
              <w:rPr>
                <w:b/>
                <w:bCs/>
              </w:rPr>
              <w:t>TCP/UDP Service</w:t>
            </w:r>
          </w:p>
          <w:p w14:paraId="49E931BE" w14:textId="77777777" w:rsidR="00A66EBD" w:rsidRPr="00A66EBD" w:rsidRDefault="0017117C" w:rsidP="00A66EBD">
            <w:r>
              <w:t>Layer 4 TCP /UDP service and port information allowing for identification of strange activity and potentially malicious traffic.</w:t>
            </w:r>
          </w:p>
          <w:p w14:paraId="12262AA8" w14:textId="77777777" w:rsidR="00A66EBD" w:rsidRDefault="00A66EBD" w:rsidP="00A66EBD">
            <w:pPr>
              <w:rPr>
                <w:lang w:val="en-AU" w:eastAsia="en-GB"/>
              </w:rPr>
            </w:pPr>
          </w:p>
        </w:tc>
      </w:tr>
      <w:tr w:rsidR="00A66EBD" w14:paraId="28C96335" w14:textId="77777777" w:rsidTr="0017117C">
        <w:tc>
          <w:tcPr>
            <w:tcW w:w="3003" w:type="dxa"/>
          </w:tcPr>
          <w:p w14:paraId="59C84AA6" w14:textId="77777777" w:rsidR="00A66EBD" w:rsidRDefault="0017117C" w:rsidP="0017117C">
            <w:pPr>
              <w:jc w:val="center"/>
              <w:rPr>
                <w:lang w:val="en-AU" w:eastAsia="en-GB"/>
              </w:rPr>
            </w:pPr>
            <w:r w:rsidRPr="0017117C">
              <w:rPr>
                <w:noProof/>
                <w:lang w:val="en-AU" w:eastAsia="en-GB"/>
              </w:rPr>
              <w:drawing>
                <wp:inline distT="0" distB="0" distL="0" distR="0" wp14:anchorId="06C0DA8F" wp14:editId="2F8D4AA9">
                  <wp:extent cx="1861200" cy="1512000"/>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861200" cy="1512000"/>
                          </a:xfrm>
                          <a:prstGeom prst="rect">
                            <a:avLst/>
                          </a:prstGeom>
                        </pic:spPr>
                      </pic:pic>
                    </a:graphicData>
                  </a:graphic>
                </wp:inline>
              </w:drawing>
            </w:r>
          </w:p>
        </w:tc>
        <w:tc>
          <w:tcPr>
            <w:tcW w:w="3003" w:type="dxa"/>
          </w:tcPr>
          <w:p w14:paraId="73E4A01D" w14:textId="77777777" w:rsidR="00A66EBD" w:rsidRDefault="0017117C" w:rsidP="0017117C">
            <w:pPr>
              <w:jc w:val="center"/>
              <w:rPr>
                <w:lang w:val="en-AU" w:eastAsia="en-GB"/>
              </w:rPr>
            </w:pPr>
            <w:r w:rsidRPr="0017117C">
              <w:rPr>
                <w:noProof/>
                <w:lang w:val="en-AU" w:eastAsia="en-GB"/>
              </w:rPr>
              <w:drawing>
                <wp:inline distT="0" distB="0" distL="0" distR="0" wp14:anchorId="5A75FD66" wp14:editId="7B87213F">
                  <wp:extent cx="1861200" cy="1512000"/>
                  <wp:effectExtent l="0" t="0" r="571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861200" cy="1512000"/>
                          </a:xfrm>
                          <a:prstGeom prst="rect">
                            <a:avLst/>
                          </a:prstGeom>
                        </pic:spPr>
                      </pic:pic>
                    </a:graphicData>
                  </a:graphic>
                </wp:inline>
              </w:drawing>
            </w:r>
          </w:p>
        </w:tc>
        <w:tc>
          <w:tcPr>
            <w:tcW w:w="3004" w:type="dxa"/>
          </w:tcPr>
          <w:p w14:paraId="24DF6243" w14:textId="77777777" w:rsidR="00A66EBD" w:rsidRDefault="0017117C" w:rsidP="0017117C">
            <w:pPr>
              <w:jc w:val="center"/>
              <w:rPr>
                <w:lang w:val="en-AU" w:eastAsia="en-GB"/>
              </w:rPr>
            </w:pPr>
            <w:r w:rsidRPr="0017117C">
              <w:rPr>
                <w:noProof/>
                <w:lang w:val="en-AU" w:eastAsia="en-GB"/>
              </w:rPr>
              <w:drawing>
                <wp:inline distT="0" distB="0" distL="0" distR="0" wp14:anchorId="0A135D02" wp14:editId="23E3D797">
                  <wp:extent cx="1868400" cy="1512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868400" cy="1512000"/>
                          </a:xfrm>
                          <a:prstGeom prst="rect">
                            <a:avLst/>
                          </a:prstGeom>
                        </pic:spPr>
                      </pic:pic>
                    </a:graphicData>
                  </a:graphic>
                </wp:inline>
              </w:drawing>
            </w:r>
          </w:p>
        </w:tc>
      </w:tr>
      <w:tr w:rsidR="00A66EBD" w14:paraId="4494C823" w14:textId="77777777" w:rsidTr="0017117C">
        <w:tc>
          <w:tcPr>
            <w:tcW w:w="3003" w:type="dxa"/>
          </w:tcPr>
          <w:p w14:paraId="50EFAAF0" w14:textId="77777777" w:rsidR="00A66EBD" w:rsidRPr="00A66EBD" w:rsidRDefault="00A66EBD" w:rsidP="00A66EBD">
            <w:pPr>
              <w:rPr>
                <w:b/>
                <w:bCs/>
              </w:rPr>
            </w:pPr>
            <w:r w:rsidRPr="00A66EBD">
              <w:rPr>
                <w:b/>
                <w:bCs/>
              </w:rPr>
              <w:t>Application Type</w:t>
            </w:r>
          </w:p>
          <w:p w14:paraId="157DAC5B" w14:textId="77777777" w:rsidR="00A66EBD" w:rsidRPr="00A66EBD" w:rsidRDefault="00A66EBD" w:rsidP="00A66EBD">
            <w:r w:rsidRPr="00A66EBD">
              <w:t>Application type is a detailed analysis of actual applications traversing the network. Application type is available for both encrypted and non-encrypted traffic. </w:t>
            </w:r>
          </w:p>
          <w:p w14:paraId="1149D981" w14:textId="77777777" w:rsidR="00A66EBD" w:rsidRDefault="00A66EBD" w:rsidP="00A66EBD">
            <w:pPr>
              <w:rPr>
                <w:lang w:val="en-AU" w:eastAsia="en-GB"/>
              </w:rPr>
            </w:pPr>
          </w:p>
        </w:tc>
        <w:tc>
          <w:tcPr>
            <w:tcW w:w="3003" w:type="dxa"/>
          </w:tcPr>
          <w:p w14:paraId="5929F76A" w14:textId="77777777" w:rsidR="00A66EBD" w:rsidRPr="00A66EBD" w:rsidRDefault="00A66EBD" w:rsidP="00A66EBD">
            <w:pPr>
              <w:rPr>
                <w:b/>
                <w:bCs/>
              </w:rPr>
            </w:pPr>
            <w:r w:rsidRPr="00A66EBD">
              <w:rPr>
                <w:b/>
                <w:bCs/>
              </w:rPr>
              <w:t>Top Websites</w:t>
            </w:r>
          </w:p>
          <w:p w14:paraId="3A057746" w14:textId="77777777" w:rsidR="00A66EBD" w:rsidRPr="00A66EBD" w:rsidRDefault="00A66EBD" w:rsidP="00041216">
            <w:r w:rsidRPr="00A66EBD">
              <w:t xml:space="preserve">Top website monitoring goes beyond normal network monitoring to identify where users travel across the Internet. Comprehensive website visibility is critical for monitoring of </w:t>
            </w:r>
            <w:proofErr w:type="gramStart"/>
            <w:r w:rsidRPr="00A66EBD">
              <w:t>cloud based</w:t>
            </w:r>
            <w:proofErr w:type="gramEnd"/>
            <w:r w:rsidRPr="00A66EBD">
              <w:t xml:space="preserve"> applications</w:t>
            </w:r>
          </w:p>
        </w:tc>
        <w:tc>
          <w:tcPr>
            <w:tcW w:w="3004" w:type="dxa"/>
          </w:tcPr>
          <w:p w14:paraId="7EBD8321" w14:textId="77777777" w:rsidR="00A66EBD" w:rsidRPr="00A66EBD" w:rsidRDefault="00A66EBD" w:rsidP="00A66EBD">
            <w:pPr>
              <w:rPr>
                <w:b/>
                <w:bCs/>
              </w:rPr>
            </w:pPr>
            <w:r w:rsidRPr="00A66EBD">
              <w:rPr>
                <w:b/>
                <w:bCs/>
              </w:rPr>
              <w:t>Operating System Distribution</w:t>
            </w:r>
          </w:p>
          <w:p w14:paraId="475C8CDD" w14:textId="77777777" w:rsidR="00A66EBD" w:rsidRPr="00A66EBD" w:rsidRDefault="00A66EBD" w:rsidP="00041216">
            <w:r w:rsidRPr="00A66EBD">
              <w:t>Identification of operating systems has become increasingly important in BYOD environments. OS distribution provides clear and concise indication of strange devices that may connect to the network.</w:t>
            </w:r>
          </w:p>
        </w:tc>
      </w:tr>
    </w:tbl>
    <w:p w14:paraId="1ACEB5FE" w14:textId="77777777" w:rsidR="00A66EBD" w:rsidRDefault="00A66EBD" w:rsidP="00041216">
      <w:pPr>
        <w:rPr>
          <w:lang w:val="en-AU" w:eastAsia="en-GB"/>
        </w:rPr>
      </w:pPr>
    </w:p>
    <w:p w14:paraId="07288B7F" w14:textId="77777777" w:rsidR="00A66EBD" w:rsidRDefault="00A66EBD" w:rsidP="00041216">
      <w:pPr>
        <w:rPr>
          <w:lang w:val="en-AU" w:eastAsia="en-GB"/>
        </w:rPr>
      </w:pPr>
    </w:p>
    <w:p w14:paraId="397C3FC9" w14:textId="77777777" w:rsidR="00041216" w:rsidRPr="00041216" w:rsidRDefault="00041216" w:rsidP="00041216">
      <w:pPr>
        <w:rPr>
          <w:lang w:val="en-AU" w:eastAsia="en-GB"/>
        </w:rPr>
      </w:pPr>
      <w:r w:rsidRPr="00041216">
        <w:rPr>
          <w:lang w:val="en-AU" w:eastAsia="en-GB"/>
        </w:rPr>
        <w:lastRenderedPageBreak/>
        <w:t>Complete stack visibility is provided from IP protocol type right through to high level application statistics. Blueshift application classification identifies hundreds of applications as well as allowing for custom application definitions.</w:t>
      </w:r>
    </w:p>
    <w:p w14:paraId="6EA7C1C8" w14:textId="77777777" w:rsidR="00041216" w:rsidRPr="00041216" w:rsidRDefault="00041216" w:rsidP="00041216">
      <w:pPr>
        <w:rPr>
          <w:lang w:val="en-AU" w:eastAsia="en-GB"/>
        </w:rPr>
      </w:pPr>
      <w:r w:rsidRPr="00041216">
        <w:rPr>
          <w:lang w:val="en-AU" w:eastAsia="en-GB"/>
        </w:rPr>
        <w:t>Blueshift application visibility provides quick and comprehensive real-time and historical snapshots of user experience – what they are doing, where they are going and how fast they are doing it.</w:t>
      </w:r>
    </w:p>
    <w:p w14:paraId="34C2059A" w14:textId="77777777" w:rsidR="00041216" w:rsidRPr="00041216" w:rsidRDefault="00041216" w:rsidP="00041216">
      <w:pPr>
        <w:rPr>
          <w:lang w:val="en-AU" w:eastAsia="en-GB"/>
        </w:rPr>
      </w:pPr>
      <w:r w:rsidRPr="00041216">
        <w:rPr>
          <w:lang w:val="en-AU" w:eastAsia="en-GB"/>
        </w:rPr>
        <w:t>Blueshift, a simple turn-key solution to satisfy all your network performance and capacity planning requirements.</w:t>
      </w:r>
    </w:p>
    <w:p w14:paraId="125DA6CF" w14:textId="77777777" w:rsidR="00041216" w:rsidRDefault="00041216" w:rsidP="00041216">
      <w:pPr>
        <w:rPr>
          <w:lang w:val="en-AU" w:eastAsia="en-GB"/>
        </w:rPr>
      </w:pPr>
    </w:p>
    <w:p w14:paraId="2DD52014" w14:textId="77777777" w:rsidR="00041216" w:rsidRDefault="00041216" w:rsidP="00041216"/>
    <w:p w14:paraId="643C60AD" w14:textId="77777777" w:rsidR="00095676" w:rsidRDefault="00095676" w:rsidP="00095676">
      <w:pPr>
        <w:pStyle w:val="Heading2"/>
      </w:pPr>
      <w:r>
        <w:t xml:space="preserve">Location </w:t>
      </w:r>
      <w:r w:rsidR="00740C2B">
        <w:t xml:space="preserve">and Subnet </w:t>
      </w:r>
      <w:r>
        <w:t>Analysis</w:t>
      </w:r>
    </w:p>
    <w:p w14:paraId="7B55BCA3" w14:textId="77777777" w:rsidR="007D1CE6" w:rsidRDefault="007D1CE6" w:rsidP="007D1CE6">
      <w:r>
        <w:t xml:space="preserve">Location analysis of where users go on the Internet and more important where traffic originated from is an important metric for assessing potentially malicious traffic entering the environment. The geolocation of the origin and destination of each Internet based flow and threat is collected to </w:t>
      </w:r>
      <w:r w:rsidR="00F5493C">
        <w:t xml:space="preserve">provide a detailed picture of the location of Internet based traffic.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5"/>
        <w:gridCol w:w="4505"/>
      </w:tblGrid>
      <w:tr w:rsidR="00445A52" w14:paraId="127DA852" w14:textId="77777777" w:rsidTr="00445A52">
        <w:tc>
          <w:tcPr>
            <w:tcW w:w="4505" w:type="dxa"/>
          </w:tcPr>
          <w:p w14:paraId="2332B9B8" w14:textId="77777777" w:rsidR="00445A52" w:rsidRDefault="00445A52" w:rsidP="00445A52">
            <w:pPr>
              <w:jc w:val="center"/>
            </w:pPr>
            <w:r>
              <w:rPr>
                <w:noProof/>
              </w:rPr>
              <w:drawing>
                <wp:inline distT="0" distB="0" distL="0" distR="0" wp14:anchorId="0F500213" wp14:editId="0B6C5C30">
                  <wp:extent cx="2602257" cy="1506828"/>
                  <wp:effectExtent l="0" t="0" r="1270" b="5080"/>
                  <wp:docPr id="12" name="Picture 12"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ocation_Dashboard_2.png"/>
                          <pic:cNvPicPr/>
                        </pic:nvPicPr>
                        <pic:blipFill>
                          <a:blip r:embed="rId22">
                            <a:extLst>
                              <a:ext uri="{28A0092B-C50C-407E-A947-70E740481C1C}">
                                <a14:useLocalDpi xmlns:a14="http://schemas.microsoft.com/office/drawing/2010/main" val="0"/>
                              </a:ext>
                            </a:extLst>
                          </a:blip>
                          <a:stretch>
                            <a:fillRect/>
                          </a:stretch>
                        </pic:blipFill>
                        <pic:spPr>
                          <a:xfrm>
                            <a:off x="0" y="0"/>
                            <a:ext cx="2613072" cy="1513091"/>
                          </a:xfrm>
                          <a:prstGeom prst="rect">
                            <a:avLst/>
                          </a:prstGeom>
                        </pic:spPr>
                      </pic:pic>
                    </a:graphicData>
                  </a:graphic>
                </wp:inline>
              </w:drawing>
            </w:r>
          </w:p>
        </w:tc>
        <w:tc>
          <w:tcPr>
            <w:tcW w:w="4505" w:type="dxa"/>
          </w:tcPr>
          <w:p w14:paraId="6C0B8F19" w14:textId="77777777" w:rsidR="00445A52" w:rsidRDefault="00445A52" w:rsidP="00445A52">
            <w:pPr>
              <w:jc w:val="center"/>
            </w:pPr>
            <w:r>
              <w:rPr>
                <w:noProof/>
              </w:rPr>
              <w:drawing>
                <wp:inline distT="0" distB="0" distL="0" distR="0" wp14:anchorId="57194346" wp14:editId="7F36CA37">
                  <wp:extent cx="2546618" cy="1503690"/>
                  <wp:effectExtent l="0" t="0" r="6350" b="0"/>
                  <wp:docPr id="14" name="Picture 14"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ocation_Dashboard_1.png"/>
                          <pic:cNvPicPr/>
                        </pic:nvPicPr>
                        <pic:blipFill>
                          <a:blip r:embed="rId23">
                            <a:extLst>
                              <a:ext uri="{28A0092B-C50C-407E-A947-70E740481C1C}">
                                <a14:useLocalDpi xmlns:a14="http://schemas.microsoft.com/office/drawing/2010/main" val="0"/>
                              </a:ext>
                            </a:extLst>
                          </a:blip>
                          <a:stretch>
                            <a:fillRect/>
                          </a:stretch>
                        </pic:blipFill>
                        <pic:spPr>
                          <a:xfrm>
                            <a:off x="0" y="0"/>
                            <a:ext cx="2562065" cy="1512811"/>
                          </a:xfrm>
                          <a:prstGeom prst="rect">
                            <a:avLst/>
                          </a:prstGeom>
                        </pic:spPr>
                      </pic:pic>
                    </a:graphicData>
                  </a:graphic>
                </wp:inline>
              </w:drawing>
            </w:r>
          </w:p>
        </w:tc>
      </w:tr>
    </w:tbl>
    <w:p w14:paraId="79AF1D8A" w14:textId="77777777" w:rsidR="00F5493C" w:rsidRDefault="00F5493C" w:rsidP="007D1CE6"/>
    <w:p w14:paraId="4E0D2979" w14:textId="77777777" w:rsidR="00F5493C" w:rsidRDefault="00445A52" w:rsidP="007D1CE6">
      <w:r>
        <w:t>IN addition to geo location information, Individual hosts can be queried to provide more ‘</w:t>
      </w:r>
      <w:proofErr w:type="spellStart"/>
      <w:r>
        <w:t>whois</w:t>
      </w:r>
      <w:proofErr w:type="spellEnd"/>
      <w:r>
        <w:t xml:space="preserve">’ information to identify the actual source of traffic including domain owner, country, state, city and carrier information. </w:t>
      </w:r>
    </w:p>
    <w:p w14:paraId="69FCE7FD" w14:textId="77777777" w:rsidR="00F5493C" w:rsidRDefault="00F5493C" w:rsidP="007D1CE6"/>
    <w:p w14:paraId="265CB75E" w14:textId="77777777" w:rsidR="00095676" w:rsidRDefault="00095676" w:rsidP="00095676">
      <w:pPr>
        <w:pStyle w:val="Heading2"/>
      </w:pPr>
      <w:r>
        <w:t>Packet Capture</w:t>
      </w:r>
    </w:p>
    <w:p w14:paraId="4DF35E8D" w14:textId="77777777" w:rsidR="00740C2B" w:rsidRDefault="00740C2B" w:rsidP="00740C2B">
      <w:r>
        <w:t xml:space="preserve">Blueshift includes a </w:t>
      </w:r>
      <w:proofErr w:type="gramStart"/>
      <w:r>
        <w:t>web based</w:t>
      </w:r>
      <w:proofErr w:type="gramEnd"/>
      <w:r>
        <w:t xml:space="preserve"> packet capture interface allowing for full packet capture on the remote appliance.</w:t>
      </w:r>
      <w:r w:rsidR="00C1295B">
        <w:t xml:space="preserve"> The packet capture module is a ‘Wireshark’ style interface with full packet decodes, detail and </w:t>
      </w:r>
      <w:proofErr w:type="gramStart"/>
      <w:r w:rsidR="00C1295B">
        <w:t>filtering  available</w:t>
      </w:r>
      <w:proofErr w:type="gramEnd"/>
      <w:r w:rsidR="00C1295B">
        <w:t xml:space="preserve"> in real time directly from the web interface.</w:t>
      </w:r>
    </w:p>
    <w:p w14:paraId="0C7F130E" w14:textId="77777777" w:rsidR="00C1295B" w:rsidRDefault="00C1295B" w:rsidP="00740C2B">
      <w:r>
        <w:t xml:space="preserve">The packet capture module supplements other security and performance monitoring for more detailed analysis of network traffic if required. As a </w:t>
      </w:r>
      <w:proofErr w:type="gramStart"/>
      <w:r>
        <w:t>web based</w:t>
      </w:r>
      <w:proofErr w:type="gramEnd"/>
      <w:r>
        <w:t xml:space="preserve"> interface, it also allows for packet captures to be taken at remote sites without the requirement of sending a network engineer with a traditional packet sniffer.</w:t>
      </w:r>
    </w:p>
    <w:p w14:paraId="020AACAC" w14:textId="77777777" w:rsidR="00C1295B" w:rsidRDefault="00C1295B" w:rsidP="00740C2B">
      <w:r>
        <w:t>Packet captures are stores in standard PCAP format and are available for download for further analysis if required.</w:t>
      </w:r>
    </w:p>
    <w:p w14:paraId="6E8EF8E1" w14:textId="77777777" w:rsidR="00740C2B" w:rsidRDefault="00740C2B" w:rsidP="00095676">
      <w:pPr>
        <w:pStyle w:val="Heading2"/>
      </w:pPr>
    </w:p>
    <w:p w14:paraId="7DEECAFF" w14:textId="77777777" w:rsidR="007A01D4" w:rsidRDefault="007A01D4" w:rsidP="007A01D4">
      <w:pPr>
        <w:pStyle w:val="Heading2"/>
        <w:jc w:val="center"/>
      </w:pPr>
      <w:r>
        <w:rPr>
          <w:noProof/>
          <w:lang w:val="en-GB" w:eastAsia="en-GB"/>
        </w:rPr>
        <w:lastRenderedPageBreak/>
        <w:drawing>
          <wp:inline distT="0" distB="0" distL="0" distR="0" wp14:anchorId="57270993" wp14:editId="0FA72BB7">
            <wp:extent cx="3618000" cy="2160000"/>
            <wp:effectExtent l="0" t="0" r="0" b="0"/>
            <wp:docPr id="9"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cket_Capture.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18000" cy="2160000"/>
                    </a:xfrm>
                    <a:prstGeom prst="rect">
                      <a:avLst/>
                    </a:prstGeom>
                  </pic:spPr>
                </pic:pic>
              </a:graphicData>
            </a:graphic>
          </wp:inline>
        </w:drawing>
      </w:r>
    </w:p>
    <w:p w14:paraId="4CEE81C3" w14:textId="77777777" w:rsidR="0074078F" w:rsidRDefault="0074078F" w:rsidP="00095676">
      <w:pPr>
        <w:pStyle w:val="Heading2"/>
      </w:pPr>
    </w:p>
    <w:p w14:paraId="74F4E9AF" w14:textId="77777777" w:rsidR="00095676" w:rsidRDefault="00095676" w:rsidP="00095676">
      <w:pPr>
        <w:pStyle w:val="Heading2"/>
      </w:pPr>
      <w:r>
        <w:t>Deployment</w:t>
      </w:r>
    </w:p>
    <w:p w14:paraId="72B5C23A" w14:textId="77777777" w:rsidR="007B5FCC" w:rsidRDefault="007D1CE6" w:rsidP="007D1CE6">
      <w:r>
        <w:t>Blueshift deployment can be as simple as a single appliance to monitor the entire network right through t</w:t>
      </w:r>
      <w:r w:rsidR="007B5FCC">
        <w:t>o</w:t>
      </w:r>
      <w:r>
        <w:t xml:space="preserve"> a distributed deployment monitoring hundreds of subnets and thousands of devices.  </w:t>
      </w:r>
    </w:p>
    <w:p w14:paraId="41E91B63" w14:textId="77777777" w:rsidR="007465BC" w:rsidRDefault="007B5FCC" w:rsidP="007D1CE6">
      <w:r>
        <w:t xml:space="preserve">Blueshift Appliances are available in a number of different interface configurations including standard Gigabit Ethernet and 10 Gigabit Ethernet. Each support a range of different </w:t>
      </w:r>
      <w:proofErr w:type="spellStart"/>
      <w:r>
        <w:t>fibre</w:t>
      </w:r>
      <w:proofErr w:type="spellEnd"/>
      <w:r>
        <w:t xml:space="preserve"> and copper modules to ensure full compatibility to the existing Ixia distribution switches</w:t>
      </w:r>
      <w:r w:rsidR="009108C6">
        <w:t>.</w:t>
      </w:r>
    </w:p>
    <w:p w14:paraId="26CC8998" w14:textId="77777777" w:rsidR="004253CB" w:rsidRDefault="004253CB" w:rsidP="007D1CE6"/>
    <w:p w14:paraId="0FC763E3" w14:textId="77777777" w:rsidR="009108C6" w:rsidRDefault="009108C6" w:rsidP="007D1CE6"/>
    <w:p w14:paraId="6F4FC2DE" w14:textId="77777777" w:rsidR="007465BC" w:rsidRDefault="007B5FCC" w:rsidP="007465BC">
      <w:pPr>
        <w:jc w:val="center"/>
      </w:pPr>
      <w:r>
        <w:rPr>
          <w:noProof/>
        </w:rPr>
        <w:drawing>
          <wp:inline distT="0" distB="0" distL="0" distR="0" wp14:anchorId="1B44C0C2" wp14:editId="37A38B93">
            <wp:extent cx="3989052" cy="685922"/>
            <wp:effectExtent l="0" t="0" r="0" b="0"/>
            <wp:docPr id="20" name="Picture 20" descr="A picture containing indoor, monitor, wall,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G Appliance Front On_1000w.png"/>
                    <pic:cNvPicPr/>
                  </pic:nvPicPr>
                  <pic:blipFill>
                    <a:blip r:embed="rId25">
                      <a:extLst>
                        <a:ext uri="{28A0092B-C50C-407E-A947-70E740481C1C}">
                          <a14:useLocalDpi xmlns:a14="http://schemas.microsoft.com/office/drawing/2010/main" val="0"/>
                        </a:ext>
                      </a:extLst>
                    </a:blip>
                    <a:stretch>
                      <a:fillRect/>
                    </a:stretch>
                  </pic:blipFill>
                  <pic:spPr>
                    <a:xfrm>
                      <a:off x="0" y="0"/>
                      <a:ext cx="4031630" cy="693243"/>
                    </a:xfrm>
                    <a:prstGeom prst="rect">
                      <a:avLst/>
                    </a:prstGeom>
                  </pic:spPr>
                </pic:pic>
              </a:graphicData>
            </a:graphic>
          </wp:inline>
        </w:drawing>
      </w:r>
    </w:p>
    <w:p w14:paraId="61F3C2D2" w14:textId="77777777" w:rsidR="004253CB" w:rsidRDefault="004253CB" w:rsidP="007465BC">
      <w:pPr>
        <w:jc w:val="center"/>
      </w:pPr>
    </w:p>
    <w:p w14:paraId="5F85DC03" w14:textId="77777777" w:rsidR="007465BC" w:rsidRDefault="007465BC" w:rsidP="007D1CE6"/>
    <w:p w14:paraId="2D56443F" w14:textId="77777777" w:rsidR="009108C6" w:rsidRDefault="009108C6" w:rsidP="009108C6">
      <w:pPr>
        <w:pStyle w:val="Body"/>
      </w:pPr>
      <w:r>
        <w:t xml:space="preserve">The Blueshift appliance requires minimal configuration and can ordinarily be installed within a few minutes. There is no scripting or complex command line interface required to install and configure the solution. </w:t>
      </w:r>
    </w:p>
    <w:p w14:paraId="6184E09A" w14:textId="3B8AA442" w:rsidR="009108C6" w:rsidRDefault="009108C6" w:rsidP="009108C6">
      <w:pPr>
        <w:pStyle w:val="Body"/>
      </w:pPr>
      <w:r>
        <w:t xml:space="preserve">In addition to the appliance model, Blueshift is available as a virtual machine allowing for rapid deployment into a virtual environment. Similarly, the Blueshift data repository can also be stored on a </w:t>
      </w:r>
      <w:r w:rsidR="00710C5F">
        <w:t>cloud-based</w:t>
      </w:r>
      <w:r>
        <w:t xml:space="preserve"> server for a full </w:t>
      </w:r>
      <w:r w:rsidR="00710C5F">
        <w:t>cloud-based</w:t>
      </w:r>
      <w:r>
        <w:t xml:space="preserve"> implementation.</w:t>
      </w:r>
    </w:p>
    <w:p w14:paraId="41A96B3B" w14:textId="77777777" w:rsidR="009108C6" w:rsidRDefault="009108C6" w:rsidP="00095676">
      <w:pPr>
        <w:pStyle w:val="Heading2"/>
      </w:pPr>
    </w:p>
    <w:p w14:paraId="1B8396DE" w14:textId="77777777" w:rsidR="00C1295B" w:rsidRDefault="00C1295B" w:rsidP="00095676">
      <w:pPr>
        <w:pStyle w:val="Heading2"/>
      </w:pPr>
      <w:bookmarkStart w:id="0" w:name="_GoBack"/>
      <w:bookmarkEnd w:id="0"/>
    </w:p>
    <w:p w14:paraId="3B4697B1" w14:textId="77777777" w:rsidR="00BF5E93" w:rsidRDefault="00BF5E93">
      <w:pPr>
        <w:spacing w:before="0" w:after="0"/>
        <w:rPr>
          <w:rFonts w:ascii="Raleway" w:hAnsi="Raleway" w:cs="Times New Roman"/>
          <w:bCs/>
          <w:color w:val="4472C4" w:themeColor="accent1"/>
          <w:sz w:val="22"/>
          <w:szCs w:val="36"/>
        </w:rPr>
      </w:pPr>
      <w:r>
        <w:br w:type="page"/>
      </w:r>
    </w:p>
    <w:p w14:paraId="223F93B9" w14:textId="1B91967A" w:rsidR="00C1295B" w:rsidRDefault="00C1295B" w:rsidP="00095676">
      <w:pPr>
        <w:pStyle w:val="Heading2"/>
      </w:pPr>
      <w:r>
        <w:lastRenderedPageBreak/>
        <w:t>Specifications and System Requirements</w:t>
      </w:r>
    </w:p>
    <w:p w14:paraId="7C12E836" w14:textId="77777777" w:rsidR="004253CB" w:rsidRDefault="004253CB" w:rsidP="00095676">
      <w:pPr>
        <w:pStyle w:val="Heading2"/>
      </w:pPr>
    </w:p>
    <w:tbl>
      <w:tblPr>
        <w:tblStyle w:val="TableGrid"/>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4248"/>
        <w:gridCol w:w="2551"/>
        <w:gridCol w:w="2211"/>
      </w:tblGrid>
      <w:tr w:rsidR="009108C6" w14:paraId="4C67EC8B" w14:textId="77777777" w:rsidTr="004253CB">
        <w:tc>
          <w:tcPr>
            <w:tcW w:w="4248" w:type="dxa"/>
            <w:tcBorders>
              <w:top w:val="nil"/>
              <w:left w:val="nil"/>
            </w:tcBorders>
          </w:tcPr>
          <w:p w14:paraId="7C634ECF" w14:textId="77777777" w:rsidR="009108C6" w:rsidRDefault="009108C6" w:rsidP="009108C6"/>
        </w:tc>
        <w:tc>
          <w:tcPr>
            <w:tcW w:w="2551" w:type="dxa"/>
            <w:shd w:val="clear" w:color="auto" w:fill="005CC3"/>
          </w:tcPr>
          <w:p w14:paraId="08D34A52" w14:textId="77777777" w:rsidR="009108C6" w:rsidRPr="004253CB" w:rsidRDefault="009108C6" w:rsidP="004253CB">
            <w:pPr>
              <w:jc w:val="center"/>
              <w:rPr>
                <w:color w:val="FFFFFF" w:themeColor="background1"/>
              </w:rPr>
            </w:pPr>
            <w:r w:rsidRPr="004253CB">
              <w:rPr>
                <w:color w:val="FFFFFF" w:themeColor="background1"/>
              </w:rPr>
              <w:t>Blueshift 1G</w:t>
            </w:r>
          </w:p>
        </w:tc>
        <w:tc>
          <w:tcPr>
            <w:tcW w:w="2211" w:type="dxa"/>
            <w:shd w:val="clear" w:color="auto" w:fill="005CC3"/>
          </w:tcPr>
          <w:p w14:paraId="2CD6EDA7" w14:textId="77777777" w:rsidR="009108C6" w:rsidRPr="004253CB" w:rsidRDefault="009108C6" w:rsidP="004253CB">
            <w:pPr>
              <w:jc w:val="center"/>
              <w:rPr>
                <w:color w:val="FFFFFF" w:themeColor="background1"/>
              </w:rPr>
            </w:pPr>
            <w:r w:rsidRPr="004253CB">
              <w:rPr>
                <w:color w:val="FFFFFF" w:themeColor="background1"/>
              </w:rPr>
              <w:t>Blueshift 10G</w:t>
            </w:r>
          </w:p>
        </w:tc>
      </w:tr>
      <w:tr w:rsidR="009108C6" w14:paraId="7D28C4FE" w14:textId="77777777" w:rsidTr="004253CB">
        <w:tc>
          <w:tcPr>
            <w:tcW w:w="4248" w:type="dxa"/>
          </w:tcPr>
          <w:p w14:paraId="49EA7846" w14:textId="77777777" w:rsidR="009108C6" w:rsidRDefault="009108C6" w:rsidP="009108C6">
            <w:r>
              <w:t>1G RJ45 Ethernet Monitoring Ports</w:t>
            </w:r>
          </w:p>
        </w:tc>
        <w:tc>
          <w:tcPr>
            <w:tcW w:w="2551" w:type="dxa"/>
          </w:tcPr>
          <w:p w14:paraId="4314DEDC" w14:textId="77777777" w:rsidR="009108C6" w:rsidRDefault="009108C6" w:rsidP="009108C6">
            <w:pPr>
              <w:jc w:val="center"/>
            </w:pPr>
            <w:r>
              <w:t>6</w:t>
            </w:r>
          </w:p>
        </w:tc>
        <w:tc>
          <w:tcPr>
            <w:tcW w:w="2211" w:type="dxa"/>
          </w:tcPr>
          <w:p w14:paraId="12B67810" w14:textId="77777777" w:rsidR="009108C6" w:rsidRDefault="009108C6" w:rsidP="009108C6">
            <w:pPr>
              <w:jc w:val="center"/>
            </w:pPr>
            <w:r>
              <w:t>8</w:t>
            </w:r>
          </w:p>
        </w:tc>
      </w:tr>
      <w:tr w:rsidR="009108C6" w14:paraId="29A57E0D" w14:textId="77777777" w:rsidTr="004253CB">
        <w:tc>
          <w:tcPr>
            <w:tcW w:w="4248" w:type="dxa"/>
          </w:tcPr>
          <w:p w14:paraId="201A338B" w14:textId="77777777" w:rsidR="009108C6" w:rsidRDefault="009108C6" w:rsidP="009108C6">
            <w:r>
              <w:t>1G SFP Port Monitoring Port</w:t>
            </w:r>
          </w:p>
        </w:tc>
        <w:tc>
          <w:tcPr>
            <w:tcW w:w="2551" w:type="dxa"/>
          </w:tcPr>
          <w:p w14:paraId="28382B4C" w14:textId="77777777" w:rsidR="009108C6" w:rsidRDefault="009108C6" w:rsidP="009108C6">
            <w:pPr>
              <w:jc w:val="center"/>
            </w:pPr>
            <w:r>
              <w:t>2</w:t>
            </w:r>
          </w:p>
        </w:tc>
        <w:tc>
          <w:tcPr>
            <w:tcW w:w="2211" w:type="dxa"/>
          </w:tcPr>
          <w:p w14:paraId="0DE1C73F" w14:textId="77777777" w:rsidR="009108C6" w:rsidRDefault="009108C6" w:rsidP="009108C6">
            <w:pPr>
              <w:jc w:val="center"/>
            </w:pPr>
            <w:r>
              <w:t>0</w:t>
            </w:r>
          </w:p>
        </w:tc>
      </w:tr>
      <w:tr w:rsidR="009108C6" w14:paraId="157788F3" w14:textId="77777777" w:rsidTr="004253CB">
        <w:tc>
          <w:tcPr>
            <w:tcW w:w="4248" w:type="dxa"/>
          </w:tcPr>
          <w:p w14:paraId="4CE17B1C" w14:textId="77777777" w:rsidR="009108C6" w:rsidRDefault="009108C6" w:rsidP="009108C6">
            <w:r>
              <w:t>10G SFP+ Monitoring Port</w:t>
            </w:r>
          </w:p>
        </w:tc>
        <w:tc>
          <w:tcPr>
            <w:tcW w:w="2551" w:type="dxa"/>
          </w:tcPr>
          <w:p w14:paraId="013CB878" w14:textId="77777777" w:rsidR="009108C6" w:rsidRDefault="009108C6" w:rsidP="009108C6">
            <w:pPr>
              <w:jc w:val="center"/>
            </w:pPr>
            <w:r>
              <w:t>0</w:t>
            </w:r>
          </w:p>
        </w:tc>
        <w:tc>
          <w:tcPr>
            <w:tcW w:w="2211" w:type="dxa"/>
          </w:tcPr>
          <w:p w14:paraId="117D7829" w14:textId="77777777" w:rsidR="009108C6" w:rsidRDefault="009108C6" w:rsidP="009108C6">
            <w:pPr>
              <w:jc w:val="center"/>
            </w:pPr>
            <w:r>
              <w:t>4</w:t>
            </w:r>
          </w:p>
        </w:tc>
      </w:tr>
      <w:tr w:rsidR="002E4805" w14:paraId="7C98E62D" w14:textId="77777777" w:rsidTr="004253CB">
        <w:tc>
          <w:tcPr>
            <w:tcW w:w="4248" w:type="dxa"/>
          </w:tcPr>
          <w:p w14:paraId="25CD9F45" w14:textId="77777777" w:rsidR="002E4805" w:rsidRDefault="002E4805" w:rsidP="009108C6">
            <w:r>
              <w:t>Disk Storage</w:t>
            </w:r>
          </w:p>
        </w:tc>
        <w:tc>
          <w:tcPr>
            <w:tcW w:w="4762" w:type="dxa"/>
            <w:gridSpan w:val="2"/>
          </w:tcPr>
          <w:p w14:paraId="5C63D2C0" w14:textId="77777777" w:rsidR="002E4805" w:rsidRDefault="002E4805" w:rsidP="002E4805">
            <w:pPr>
              <w:jc w:val="center"/>
            </w:pPr>
            <w:r>
              <w:t>1TB</w:t>
            </w:r>
          </w:p>
        </w:tc>
      </w:tr>
      <w:tr w:rsidR="002E4805" w14:paraId="49EF0D1F" w14:textId="77777777" w:rsidTr="004253CB">
        <w:tc>
          <w:tcPr>
            <w:tcW w:w="4248" w:type="dxa"/>
          </w:tcPr>
          <w:p w14:paraId="10C34D61" w14:textId="77777777" w:rsidR="002E4805" w:rsidRDefault="002E4805" w:rsidP="009108C6">
            <w:r>
              <w:t>Power</w:t>
            </w:r>
          </w:p>
        </w:tc>
        <w:tc>
          <w:tcPr>
            <w:tcW w:w="4762" w:type="dxa"/>
            <w:gridSpan w:val="2"/>
          </w:tcPr>
          <w:p w14:paraId="2F7C2DA0" w14:textId="77777777" w:rsidR="002E4805" w:rsidRDefault="002E4805" w:rsidP="009108C6">
            <w:pPr>
              <w:jc w:val="center"/>
            </w:pPr>
            <w:r>
              <w:t>AC 110V – 220V</w:t>
            </w:r>
          </w:p>
        </w:tc>
      </w:tr>
    </w:tbl>
    <w:p w14:paraId="72D7285D" w14:textId="77777777" w:rsidR="009108C6" w:rsidRDefault="009108C6" w:rsidP="009108C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5"/>
        <w:gridCol w:w="4505"/>
      </w:tblGrid>
      <w:tr w:rsidR="004253CB" w14:paraId="61579A0C" w14:textId="77777777" w:rsidTr="004253CB">
        <w:tc>
          <w:tcPr>
            <w:tcW w:w="4505" w:type="dxa"/>
          </w:tcPr>
          <w:p w14:paraId="43346A47" w14:textId="77777777" w:rsidR="004253CB" w:rsidRDefault="004253CB" w:rsidP="004253CB">
            <w:pPr>
              <w:spacing w:before="240"/>
              <w:rPr>
                <w:b/>
                <w:bCs/>
              </w:rPr>
            </w:pPr>
            <w:r>
              <w:rPr>
                <w:b/>
                <w:bCs/>
              </w:rPr>
              <w:t>Certifications</w:t>
            </w:r>
          </w:p>
          <w:p w14:paraId="4CDDEE40" w14:textId="77777777" w:rsidR="004253CB" w:rsidRDefault="004253CB" w:rsidP="004253CB">
            <w:r>
              <w:t>Safety: UL, CE</w:t>
            </w:r>
          </w:p>
          <w:p w14:paraId="7909D986" w14:textId="77777777" w:rsidR="004253CB" w:rsidRDefault="004253CB" w:rsidP="004253CB">
            <w:r>
              <w:t>EMC: FCC, VCCI, C-Tick</w:t>
            </w:r>
          </w:p>
          <w:p w14:paraId="09EAE670" w14:textId="77777777" w:rsidR="004253CB" w:rsidRDefault="004253CB" w:rsidP="004253CB">
            <w:r>
              <w:t>Environmental: RoHS, WEEE</w:t>
            </w:r>
          </w:p>
          <w:p w14:paraId="13971ACD" w14:textId="77777777" w:rsidR="004253CB" w:rsidRPr="002E4805" w:rsidRDefault="004253CB" w:rsidP="004253CB">
            <w:r>
              <w:t>Protocol: Fully IEEE 802.3 Compliant</w:t>
            </w:r>
          </w:p>
          <w:p w14:paraId="26EBE239" w14:textId="77777777" w:rsidR="004253CB" w:rsidRDefault="004253CB" w:rsidP="009108C6"/>
        </w:tc>
        <w:tc>
          <w:tcPr>
            <w:tcW w:w="4505" w:type="dxa"/>
          </w:tcPr>
          <w:p w14:paraId="42525D94" w14:textId="77777777" w:rsidR="004253CB" w:rsidRPr="002E4805" w:rsidRDefault="004253CB" w:rsidP="004253CB">
            <w:pPr>
              <w:spacing w:before="240"/>
              <w:rPr>
                <w:b/>
                <w:bCs/>
              </w:rPr>
            </w:pPr>
            <w:r w:rsidRPr="002E4805">
              <w:rPr>
                <w:b/>
                <w:bCs/>
              </w:rPr>
              <w:t>Operating</w:t>
            </w:r>
          </w:p>
          <w:p w14:paraId="6CDCCB6F" w14:textId="77777777" w:rsidR="004253CB" w:rsidRDefault="004253CB" w:rsidP="004253CB">
            <w:r>
              <w:t>Operating Temperature: 0</w:t>
            </w:r>
            <w:r>
              <w:sym w:font="Symbol" w:char="F0B0"/>
            </w:r>
            <w:r>
              <w:t>C to 45</w:t>
            </w:r>
            <w:r>
              <w:sym w:font="Symbol" w:char="F0B0"/>
            </w:r>
            <w:r>
              <w:t>C</w:t>
            </w:r>
          </w:p>
          <w:p w14:paraId="6D7544E7" w14:textId="77777777" w:rsidR="004253CB" w:rsidRDefault="004253CB" w:rsidP="004253CB">
            <w:r>
              <w:t>Storage Temperature: -20</w:t>
            </w:r>
            <w:r>
              <w:sym w:font="Symbol" w:char="F0B0"/>
            </w:r>
            <w:r>
              <w:t>C to 70</w:t>
            </w:r>
            <w:r>
              <w:sym w:font="Symbol" w:char="F0B0"/>
            </w:r>
            <w:r>
              <w:t>C</w:t>
            </w:r>
          </w:p>
          <w:p w14:paraId="46E13B31" w14:textId="77777777" w:rsidR="004253CB" w:rsidRDefault="004253CB" w:rsidP="004253CB">
            <w:r>
              <w:t xml:space="preserve">Relative Humidity: 5% min, 95% </w:t>
            </w:r>
            <w:proofErr w:type="gramStart"/>
            <w:r>
              <w:t xml:space="preserve">max,  </w:t>
            </w:r>
            <w:proofErr w:type="spellStart"/>
            <w:r>
              <w:t>non</w:t>
            </w:r>
            <w:proofErr w:type="gramEnd"/>
            <w:r>
              <w:t xml:space="preserve"> condensing</w:t>
            </w:r>
            <w:proofErr w:type="spellEnd"/>
          </w:p>
          <w:p w14:paraId="49A8A895" w14:textId="77777777" w:rsidR="004253CB" w:rsidRDefault="004253CB" w:rsidP="004253CB">
            <w:r>
              <w:t>Vibration: 0.5g rms/5-500Hz/random/operating</w:t>
            </w:r>
          </w:p>
          <w:p w14:paraId="6658378A" w14:textId="77777777" w:rsidR="004253CB" w:rsidRDefault="004253CB" w:rsidP="009108C6"/>
        </w:tc>
      </w:tr>
    </w:tbl>
    <w:p w14:paraId="78BDB44B" w14:textId="77777777" w:rsidR="004253CB" w:rsidRDefault="004253CB" w:rsidP="009108C6"/>
    <w:p w14:paraId="20BA9DB4" w14:textId="77777777" w:rsidR="004253CB" w:rsidRDefault="004253CB"/>
    <w:sectPr w:rsidR="004253CB" w:rsidSect="00A24E90">
      <w:headerReference w:type="default" r:id="rId26"/>
      <w:footerReference w:type="default" r:id="rId2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359692" w14:textId="77777777" w:rsidR="001D4239" w:rsidRDefault="001D4239" w:rsidP="00561781">
      <w:r>
        <w:separator/>
      </w:r>
    </w:p>
  </w:endnote>
  <w:endnote w:type="continuationSeparator" w:id="0">
    <w:p w14:paraId="10B7B2BE" w14:textId="77777777" w:rsidR="001D4239" w:rsidRDefault="001D4239" w:rsidP="005617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Raleway">
    <w:panose1 w:val="020B0003030101060003"/>
    <w:charset w:val="00"/>
    <w:family w:val="swiss"/>
    <w:pitch w:val="variable"/>
    <w:sig w:usb0="A00000BF" w:usb1="5000005B" w:usb2="00000000" w:usb3="00000000" w:csb0="00000093" w:csb1="00000000"/>
  </w:font>
  <w:font w:name="Calibri Light">
    <w:panose1 w:val="020F03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w:altName w:val="Calibri"/>
    <w:panose1 w:val="020B0604020202020204"/>
    <w:charset w:val="00"/>
    <w:family w:val="script"/>
    <w:pitch w:val="variable"/>
    <w:sig w:usb0="0000028F"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D89A9E" w14:textId="77777777" w:rsidR="001018D1" w:rsidRPr="001018D1" w:rsidRDefault="001018D1" w:rsidP="001018D1">
    <w:pPr>
      <w:pStyle w:val="Footer"/>
      <w:pBdr>
        <w:top w:val="single" w:sz="4" w:space="1" w:color="0070C0"/>
      </w:pBdr>
      <w:rPr>
        <w:color w:val="0070C0"/>
      </w:rPr>
    </w:pPr>
    <w:r w:rsidRPr="001018D1">
      <w:rPr>
        <w:color w:val="0070C0"/>
      </w:rPr>
      <w:ptab w:relativeTo="margin" w:alignment="center" w:leader="none"/>
    </w:r>
    <w:r w:rsidRPr="001018D1">
      <w:rPr>
        <w:color w:val="0070C0"/>
      </w:rPr>
      <w:t>www.dabbleit.com.au</w:t>
    </w:r>
    <w:r w:rsidRPr="001018D1">
      <w:rPr>
        <w:color w:val="0070C0"/>
      </w:rP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92A39C" w14:textId="77777777" w:rsidR="001D4239" w:rsidRDefault="001D4239" w:rsidP="00561781">
      <w:r>
        <w:separator/>
      </w:r>
    </w:p>
  </w:footnote>
  <w:footnote w:type="continuationSeparator" w:id="0">
    <w:p w14:paraId="0EA8BA5F" w14:textId="77777777" w:rsidR="001D4239" w:rsidRDefault="001D4239" w:rsidP="005617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BEDF5F" w14:textId="77777777" w:rsidR="00561781" w:rsidRDefault="00561781">
    <w:pPr>
      <w:pStyle w:val="Header"/>
    </w:pPr>
    <w:r>
      <w:rPr>
        <w:noProof/>
        <w:lang w:val="en-GB" w:eastAsia="en-GB"/>
      </w:rPr>
      <w:drawing>
        <wp:inline distT="0" distB="0" distL="0" distR="0" wp14:anchorId="0FB41A94" wp14:editId="0B6C6BE5">
          <wp:extent cx="977059" cy="356591"/>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abble_274x100.png"/>
                  <pic:cNvPicPr/>
                </pic:nvPicPr>
                <pic:blipFill>
                  <a:blip r:embed="rId1">
                    <a:extLst>
                      <a:ext uri="{28A0092B-C50C-407E-A947-70E740481C1C}">
                        <a14:useLocalDpi xmlns:a14="http://schemas.microsoft.com/office/drawing/2010/main" val="0"/>
                      </a:ext>
                    </a:extLst>
                  </a:blip>
                  <a:stretch>
                    <a:fillRect/>
                  </a:stretch>
                </pic:blipFill>
                <pic:spPr>
                  <a:xfrm>
                    <a:off x="0" y="0"/>
                    <a:ext cx="1019709" cy="372157"/>
                  </a:xfrm>
                  <a:prstGeom prst="rect">
                    <a:avLst/>
                  </a:prstGeom>
                </pic:spPr>
              </pic:pic>
            </a:graphicData>
          </a:graphic>
        </wp:inline>
      </w:drawing>
    </w:r>
  </w:p>
  <w:p w14:paraId="748C2B2E" w14:textId="77777777" w:rsidR="00561781" w:rsidRDefault="00561781">
    <w:pPr>
      <w:pStyle w:val="Header"/>
    </w:pPr>
    <w:r>
      <w:rPr>
        <w:noProof/>
        <w:lang w:val="en-GB" w:eastAsia="en-GB"/>
      </w:rPr>
      <mc:AlternateContent>
        <mc:Choice Requires="wps">
          <w:drawing>
            <wp:anchor distT="0" distB="0" distL="114300" distR="114300" simplePos="0" relativeHeight="251659264" behindDoc="0" locked="0" layoutInCell="1" allowOverlap="1" wp14:anchorId="5973F8A5" wp14:editId="5116C495">
              <wp:simplePos x="0" y="0"/>
              <wp:positionH relativeFrom="column">
                <wp:posOffset>-294468</wp:posOffset>
              </wp:positionH>
              <wp:positionV relativeFrom="paragraph">
                <wp:posOffset>108585</wp:posOffset>
              </wp:positionV>
              <wp:extent cx="6289503" cy="2540"/>
              <wp:effectExtent l="0" t="0" r="35560" b="48260"/>
              <wp:wrapNone/>
              <wp:docPr id="13" name="Straight Connector 13"/>
              <wp:cNvGraphicFramePr/>
              <a:graphic xmlns:a="http://schemas.openxmlformats.org/drawingml/2006/main">
                <a:graphicData uri="http://schemas.microsoft.com/office/word/2010/wordprocessingShape">
                  <wps:wsp>
                    <wps:cNvCnPr/>
                    <wps:spPr>
                      <a:xfrm>
                        <a:off x="0" y="0"/>
                        <a:ext cx="6289503" cy="25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13"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3204]" strokeweight=".5pt" from="-23.2pt,8.55pt" to="472.05pt,8.75pt" w14:anchorId="7C994B7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">
              <v:stroke joinstyle="miter"/>
            </v:line>
          </w:pict>
        </mc:Fallback>
      </mc:AlternateContent>
    </w:r>
  </w:p>
  <w:p w14:paraId="40618497" w14:textId="77777777" w:rsidR="00561781" w:rsidRDefault="0056178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733910"/>
    <w:multiLevelType w:val="hybridMultilevel"/>
    <w:tmpl w:val="972E6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412197"/>
    <w:multiLevelType w:val="multilevel"/>
    <w:tmpl w:val="C32C1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8D57B8B"/>
    <w:multiLevelType w:val="multilevel"/>
    <w:tmpl w:val="95820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6875AB7"/>
    <w:multiLevelType w:val="hybridMultilevel"/>
    <w:tmpl w:val="DBB41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0771996"/>
    <w:multiLevelType w:val="hybridMultilevel"/>
    <w:tmpl w:val="804C7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FE812C1"/>
    <w:multiLevelType w:val="multilevel"/>
    <w:tmpl w:val="34EA48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9940677"/>
    <w:multiLevelType w:val="hybridMultilevel"/>
    <w:tmpl w:val="24BEF2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1"/>
  </w:num>
  <w:num w:numId="4">
    <w:abstractNumId w:val="3"/>
  </w:num>
  <w:num w:numId="5">
    <w:abstractNumId w:val="4"/>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5676"/>
    <w:rsid w:val="00041216"/>
    <w:rsid w:val="000707FB"/>
    <w:rsid w:val="00095676"/>
    <w:rsid w:val="001018D1"/>
    <w:rsid w:val="0017117C"/>
    <w:rsid w:val="00180E30"/>
    <w:rsid w:val="001D4239"/>
    <w:rsid w:val="00206E7E"/>
    <w:rsid w:val="00211F72"/>
    <w:rsid w:val="002E4805"/>
    <w:rsid w:val="004253CB"/>
    <w:rsid w:val="00445A52"/>
    <w:rsid w:val="00467C6F"/>
    <w:rsid w:val="00561781"/>
    <w:rsid w:val="00585083"/>
    <w:rsid w:val="00594DF0"/>
    <w:rsid w:val="005C095D"/>
    <w:rsid w:val="005E52D1"/>
    <w:rsid w:val="0064731F"/>
    <w:rsid w:val="00710C5F"/>
    <w:rsid w:val="0074078F"/>
    <w:rsid w:val="00740C2B"/>
    <w:rsid w:val="007465BC"/>
    <w:rsid w:val="0076792E"/>
    <w:rsid w:val="007A01D4"/>
    <w:rsid w:val="007B5FCC"/>
    <w:rsid w:val="007C20F6"/>
    <w:rsid w:val="007D1CE6"/>
    <w:rsid w:val="007E2A53"/>
    <w:rsid w:val="00812C37"/>
    <w:rsid w:val="008E098B"/>
    <w:rsid w:val="009108C6"/>
    <w:rsid w:val="00987868"/>
    <w:rsid w:val="0099724F"/>
    <w:rsid w:val="00A24E90"/>
    <w:rsid w:val="00A66EBD"/>
    <w:rsid w:val="00AD0380"/>
    <w:rsid w:val="00B3716B"/>
    <w:rsid w:val="00BF5E93"/>
    <w:rsid w:val="00C1295B"/>
    <w:rsid w:val="00D23D8E"/>
    <w:rsid w:val="00D808EF"/>
    <w:rsid w:val="00E07607"/>
    <w:rsid w:val="00F42CD9"/>
    <w:rsid w:val="00F5493C"/>
    <w:rsid w:val="17461A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B6FEB6"/>
  <w14:defaultImageDpi w14:val="32767"/>
  <w15:chartTrackingRefBased/>
  <w15:docId w15:val="{F3906266-CF0E-3242-A26B-70E3180FA6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095676"/>
    <w:pPr>
      <w:spacing w:before="60" w:after="60"/>
    </w:pPr>
    <w:rPr>
      <w:sz w:val="20"/>
    </w:rPr>
  </w:style>
  <w:style w:type="paragraph" w:styleId="Heading1">
    <w:name w:val="heading 1"/>
    <w:basedOn w:val="Normal"/>
    <w:next w:val="Normal"/>
    <w:link w:val="Heading1Char"/>
    <w:uiPriority w:val="9"/>
    <w:qFormat/>
    <w:rsid w:val="00594DF0"/>
    <w:pPr>
      <w:keepNext/>
      <w:keepLines/>
      <w:spacing w:before="240"/>
      <w:outlineLvl w:val="0"/>
    </w:pPr>
    <w:rPr>
      <w:rFonts w:ascii="Raleway" w:eastAsiaTheme="majorEastAsia" w:hAnsi="Raleway" w:cstheme="majorBidi"/>
      <w:color w:val="2F5496" w:themeColor="accent1" w:themeShade="BF"/>
      <w:sz w:val="28"/>
      <w:szCs w:val="32"/>
    </w:rPr>
  </w:style>
  <w:style w:type="paragraph" w:styleId="Heading2">
    <w:name w:val="heading 2"/>
    <w:basedOn w:val="Normal"/>
    <w:link w:val="Heading2Char"/>
    <w:uiPriority w:val="9"/>
    <w:qFormat/>
    <w:rsid w:val="00594DF0"/>
    <w:pPr>
      <w:spacing w:before="100" w:beforeAutospacing="1" w:after="100" w:afterAutospacing="1"/>
      <w:outlineLvl w:val="1"/>
    </w:pPr>
    <w:rPr>
      <w:rFonts w:ascii="Raleway" w:hAnsi="Raleway" w:cs="Times New Roman"/>
      <w:bCs/>
      <w:color w:val="4472C4" w:themeColor="accent1"/>
      <w:sz w:val="22"/>
      <w:szCs w:val="36"/>
    </w:rPr>
  </w:style>
  <w:style w:type="paragraph" w:styleId="Heading3">
    <w:name w:val="heading 3"/>
    <w:basedOn w:val="Normal"/>
    <w:next w:val="Normal"/>
    <w:link w:val="Heading3Char"/>
    <w:uiPriority w:val="9"/>
    <w:unhideWhenUsed/>
    <w:qFormat/>
    <w:rsid w:val="007E2A53"/>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94DF0"/>
    <w:rPr>
      <w:rFonts w:ascii="Raleway" w:hAnsi="Raleway" w:cs="Times New Roman"/>
      <w:bCs/>
      <w:color w:val="4472C4" w:themeColor="accent1"/>
      <w:sz w:val="22"/>
      <w:szCs w:val="36"/>
    </w:rPr>
  </w:style>
  <w:style w:type="paragraph" w:styleId="NormalWeb">
    <w:name w:val="Normal (Web)"/>
    <w:basedOn w:val="Normal"/>
    <w:uiPriority w:val="99"/>
    <w:semiHidden/>
    <w:unhideWhenUsed/>
    <w:rsid w:val="005C095D"/>
    <w:pPr>
      <w:spacing w:before="100" w:beforeAutospacing="1" w:after="100" w:afterAutospacing="1"/>
    </w:pPr>
    <w:rPr>
      <w:rFonts w:ascii="Times New Roman" w:hAnsi="Times New Roman" w:cs="Times New Roman"/>
    </w:rPr>
  </w:style>
  <w:style w:type="character" w:styleId="Strong">
    <w:name w:val="Strong"/>
    <w:basedOn w:val="DefaultParagraphFont"/>
    <w:uiPriority w:val="22"/>
    <w:qFormat/>
    <w:rsid w:val="005C095D"/>
    <w:rPr>
      <w:b/>
      <w:bCs/>
    </w:rPr>
  </w:style>
  <w:style w:type="character" w:styleId="Emphasis">
    <w:name w:val="Emphasis"/>
    <w:basedOn w:val="DefaultParagraphFont"/>
    <w:uiPriority w:val="20"/>
    <w:qFormat/>
    <w:rsid w:val="005C095D"/>
    <w:rPr>
      <w:i/>
      <w:iCs/>
    </w:rPr>
  </w:style>
  <w:style w:type="paragraph" w:customStyle="1" w:styleId="p1">
    <w:name w:val="p1"/>
    <w:basedOn w:val="Normal"/>
    <w:rsid w:val="005C095D"/>
    <w:pPr>
      <w:spacing w:before="100" w:beforeAutospacing="1" w:after="100" w:afterAutospacing="1"/>
    </w:pPr>
    <w:rPr>
      <w:rFonts w:ascii="Times New Roman" w:hAnsi="Times New Roman" w:cs="Times New Roman"/>
    </w:rPr>
  </w:style>
  <w:style w:type="character" w:customStyle="1" w:styleId="s1">
    <w:name w:val="s1"/>
    <w:basedOn w:val="DefaultParagraphFont"/>
    <w:rsid w:val="005C095D"/>
  </w:style>
  <w:style w:type="character" w:customStyle="1" w:styleId="apple-converted-space">
    <w:name w:val="apple-converted-space"/>
    <w:basedOn w:val="DefaultParagraphFont"/>
    <w:rsid w:val="005C095D"/>
  </w:style>
  <w:style w:type="character" w:customStyle="1" w:styleId="Heading1Char">
    <w:name w:val="Heading 1 Char"/>
    <w:basedOn w:val="DefaultParagraphFont"/>
    <w:link w:val="Heading1"/>
    <w:uiPriority w:val="9"/>
    <w:rsid w:val="00594DF0"/>
    <w:rPr>
      <w:rFonts w:ascii="Raleway" w:eastAsiaTheme="majorEastAsia" w:hAnsi="Raleway" w:cstheme="majorBidi"/>
      <w:color w:val="2F5496" w:themeColor="accent1" w:themeShade="BF"/>
      <w:sz w:val="28"/>
      <w:szCs w:val="32"/>
    </w:rPr>
  </w:style>
  <w:style w:type="paragraph" w:styleId="ListParagraph">
    <w:name w:val="List Paragraph"/>
    <w:basedOn w:val="Normal"/>
    <w:uiPriority w:val="34"/>
    <w:qFormat/>
    <w:rsid w:val="00594DF0"/>
    <w:pPr>
      <w:ind w:left="720"/>
      <w:contextualSpacing/>
    </w:pPr>
  </w:style>
  <w:style w:type="paragraph" w:styleId="Header">
    <w:name w:val="header"/>
    <w:basedOn w:val="Normal"/>
    <w:link w:val="HeaderChar"/>
    <w:uiPriority w:val="99"/>
    <w:unhideWhenUsed/>
    <w:rsid w:val="00561781"/>
    <w:pPr>
      <w:tabs>
        <w:tab w:val="center" w:pos="4513"/>
        <w:tab w:val="right" w:pos="9026"/>
      </w:tabs>
    </w:pPr>
  </w:style>
  <w:style w:type="character" w:customStyle="1" w:styleId="HeaderChar">
    <w:name w:val="Header Char"/>
    <w:basedOn w:val="DefaultParagraphFont"/>
    <w:link w:val="Header"/>
    <w:uiPriority w:val="99"/>
    <w:rsid w:val="00561781"/>
    <w:rPr>
      <w:sz w:val="20"/>
    </w:rPr>
  </w:style>
  <w:style w:type="paragraph" w:styleId="Footer">
    <w:name w:val="footer"/>
    <w:basedOn w:val="Normal"/>
    <w:link w:val="FooterChar"/>
    <w:uiPriority w:val="99"/>
    <w:unhideWhenUsed/>
    <w:rsid w:val="00561781"/>
    <w:pPr>
      <w:tabs>
        <w:tab w:val="center" w:pos="4513"/>
        <w:tab w:val="right" w:pos="9026"/>
      </w:tabs>
    </w:pPr>
  </w:style>
  <w:style w:type="character" w:customStyle="1" w:styleId="FooterChar">
    <w:name w:val="Footer Char"/>
    <w:basedOn w:val="DefaultParagraphFont"/>
    <w:link w:val="Footer"/>
    <w:uiPriority w:val="99"/>
    <w:rsid w:val="00561781"/>
    <w:rPr>
      <w:sz w:val="20"/>
    </w:rPr>
  </w:style>
  <w:style w:type="table" w:styleId="TableGrid">
    <w:name w:val="Table Grid"/>
    <w:basedOn w:val="TableNormal"/>
    <w:uiPriority w:val="39"/>
    <w:rsid w:val="00A66E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7E2A53"/>
    <w:rPr>
      <w:rFonts w:asciiTheme="majorHAnsi" w:eastAsiaTheme="majorEastAsia" w:hAnsiTheme="majorHAnsi" w:cstheme="majorBidi"/>
      <w:color w:val="1F3763" w:themeColor="accent1" w:themeShade="7F"/>
    </w:rPr>
  </w:style>
  <w:style w:type="paragraph" w:customStyle="1" w:styleId="Body">
    <w:name w:val="Body"/>
    <w:qFormat/>
    <w:rsid w:val="009108C6"/>
    <w:pPr>
      <w:spacing w:before="80" w:after="80"/>
    </w:pPr>
    <w:rPr>
      <w:rFonts w:eastAsia="Arial Unicode MS" w:cs="Arial Unicode MS"/>
      <w:color w:val="000000"/>
      <w:sz w:val="22"/>
      <w:szCs w:val="22"/>
      <w:u w:color="212121"/>
      <w:bdr w:val="nil"/>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515377">
      <w:bodyDiv w:val="1"/>
      <w:marLeft w:val="0"/>
      <w:marRight w:val="0"/>
      <w:marTop w:val="0"/>
      <w:marBottom w:val="0"/>
      <w:divBdr>
        <w:top w:val="none" w:sz="0" w:space="0" w:color="auto"/>
        <w:left w:val="none" w:sz="0" w:space="0" w:color="auto"/>
        <w:bottom w:val="none" w:sz="0" w:space="0" w:color="auto"/>
        <w:right w:val="none" w:sz="0" w:space="0" w:color="auto"/>
      </w:divBdr>
    </w:div>
    <w:div w:id="65417669">
      <w:bodyDiv w:val="1"/>
      <w:marLeft w:val="0"/>
      <w:marRight w:val="0"/>
      <w:marTop w:val="0"/>
      <w:marBottom w:val="0"/>
      <w:divBdr>
        <w:top w:val="none" w:sz="0" w:space="0" w:color="auto"/>
        <w:left w:val="none" w:sz="0" w:space="0" w:color="auto"/>
        <w:bottom w:val="none" w:sz="0" w:space="0" w:color="auto"/>
        <w:right w:val="none" w:sz="0" w:space="0" w:color="auto"/>
      </w:divBdr>
    </w:div>
    <w:div w:id="75715802">
      <w:bodyDiv w:val="1"/>
      <w:marLeft w:val="0"/>
      <w:marRight w:val="0"/>
      <w:marTop w:val="0"/>
      <w:marBottom w:val="0"/>
      <w:divBdr>
        <w:top w:val="none" w:sz="0" w:space="0" w:color="auto"/>
        <w:left w:val="none" w:sz="0" w:space="0" w:color="auto"/>
        <w:bottom w:val="none" w:sz="0" w:space="0" w:color="auto"/>
        <w:right w:val="none" w:sz="0" w:space="0" w:color="auto"/>
      </w:divBdr>
    </w:div>
    <w:div w:id="306083756">
      <w:bodyDiv w:val="1"/>
      <w:marLeft w:val="0"/>
      <w:marRight w:val="0"/>
      <w:marTop w:val="0"/>
      <w:marBottom w:val="0"/>
      <w:divBdr>
        <w:top w:val="none" w:sz="0" w:space="0" w:color="auto"/>
        <w:left w:val="none" w:sz="0" w:space="0" w:color="auto"/>
        <w:bottom w:val="none" w:sz="0" w:space="0" w:color="auto"/>
        <w:right w:val="none" w:sz="0" w:space="0" w:color="auto"/>
      </w:divBdr>
    </w:div>
    <w:div w:id="435709110">
      <w:bodyDiv w:val="1"/>
      <w:marLeft w:val="0"/>
      <w:marRight w:val="0"/>
      <w:marTop w:val="0"/>
      <w:marBottom w:val="0"/>
      <w:divBdr>
        <w:top w:val="none" w:sz="0" w:space="0" w:color="auto"/>
        <w:left w:val="none" w:sz="0" w:space="0" w:color="auto"/>
        <w:bottom w:val="none" w:sz="0" w:space="0" w:color="auto"/>
        <w:right w:val="none" w:sz="0" w:space="0" w:color="auto"/>
      </w:divBdr>
      <w:divsChild>
        <w:div w:id="1763258263">
          <w:blockQuote w:val="1"/>
          <w:marLeft w:val="600"/>
          <w:marRight w:val="0"/>
          <w:marTop w:val="0"/>
          <w:marBottom w:val="0"/>
          <w:divBdr>
            <w:top w:val="none" w:sz="0" w:space="0" w:color="auto"/>
            <w:left w:val="none" w:sz="0" w:space="0" w:color="auto"/>
            <w:bottom w:val="none" w:sz="0" w:space="0" w:color="auto"/>
            <w:right w:val="none" w:sz="0" w:space="0" w:color="auto"/>
          </w:divBdr>
        </w:div>
        <w:div w:id="769859552">
          <w:marLeft w:val="0"/>
          <w:marRight w:val="0"/>
          <w:marTop w:val="0"/>
          <w:marBottom w:val="0"/>
          <w:divBdr>
            <w:top w:val="none" w:sz="0" w:space="0" w:color="auto"/>
            <w:left w:val="none" w:sz="0" w:space="0" w:color="auto"/>
            <w:bottom w:val="none" w:sz="0" w:space="0" w:color="auto"/>
            <w:right w:val="none" w:sz="0" w:space="0" w:color="auto"/>
          </w:divBdr>
        </w:div>
        <w:div w:id="1504584202">
          <w:marLeft w:val="0"/>
          <w:marRight w:val="0"/>
          <w:marTop w:val="0"/>
          <w:marBottom w:val="0"/>
          <w:divBdr>
            <w:top w:val="none" w:sz="0" w:space="0" w:color="auto"/>
            <w:left w:val="none" w:sz="0" w:space="0" w:color="auto"/>
            <w:bottom w:val="none" w:sz="0" w:space="0" w:color="auto"/>
            <w:right w:val="none" w:sz="0" w:space="0" w:color="auto"/>
          </w:divBdr>
        </w:div>
        <w:div w:id="1535531930">
          <w:marLeft w:val="0"/>
          <w:marRight w:val="0"/>
          <w:marTop w:val="0"/>
          <w:marBottom w:val="0"/>
          <w:divBdr>
            <w:top w:val="none" w:sz="0" w:space="0" w:color="auto"/>
            <w:left w:val="none" w:sz="0" w:space="0" w:color="auto"/>
            <w:bottom w:val="none" w:sz="0" w:space="0" w:color="auto"/>
            <w:right w:val="none" w:sz="0" w:space="0" w:color="auto"/>
          </w:divBdr>
        </w:div>
        <w:div w:id="1490368004">
          <w:marLeft w:val="0"/>
          <w:marRight w:val="0"/>
          <w:marTop w:val="0"/>
          <w:marBottom w:val="0"/>
          <w:divBdr>
            <w:top w:val="none" w:sz="0" w:space="0" w:color="auto"/>
            <w:left w:val="none" w:sz="0" w:space="0" w:color="auto"/>
            <w:bottom w:val="none" w:sz="0" w:space="0" w:color="auto"/>
            <w:right w:val="none" w:sz="0" w:space="0" w:color="auto"/>
          </w:divBdr>
        </w:div>
        <w:div w:id="1077943872">
          <w:marLeft w:val="0"/>
          <w:marRight w:val="0"/>
          <w:marTop w:val="0"/>
          <w:marBottom w:val="0"/>
          <w:divBdr>
            <w:top w:val="none" w:sz="0" w:space="0" w:color="auto"/>
            <w:left w:val="none" w:sz="0" w:space="0" w:color="auto"/>
            <w:bottom w:val="none" w:sz="0" w:space="0" w:color="auto"/>
            <w:right w:val="none" w:sz="0" w:space="0" w:color="auto"/>
          </w:divBdr>
        </w:div>
        <w:div w:id="383025114">
          <w:marLeft w:val="0"/>
          <w:marRight w:val="0"/>
          <w:marTop w:val="0"/>
          <w:marBottom w:val="0"/>
          <w:divBdr>
            <w:top w:val="none" w:sz="0" w:space="0" w:color="auto"/>
            <w:left w:val="none" w:sz="0" w:space="0" w:color="auto"/>
            <w:bottom w:val="none" w:sz="0" w:space="0" w:color="auto"/>
            <w:right w:val="none" w:sz="0" w:space="0" w:color="auto"/>
          </w:divBdr>
        </w:div>
        <w:div w:id="1954315838">
          <w:marLeft w:val="0"/>
          <w:marRight w:val="0"/>
          <w:marTop w:val="0"/>
          <w:marBottom w:val="0"/>
          <w:divBdr>
            <w:top w:val="none" w:sz="0" w:space="0" w:color="auto"/>
            <w:left w:val="none" w:sz="0" w:space="0" w:color="auto"/>
            <w:bottom w:val="none" w:sz="0" w:space="0" w:color="auto"/>
            <w:right w:val="none" w:sz="0" w:space="0" w:color="auto"/>
          </w:divBdr>
        </w:div>
        <w:div w:id="1226572172">
          <w:marLeft w:val="0"/>
          <w:marRight w:val="0"/>
          <w:marTop w:val="0"/>
          <w:marBottom w:val="0"/>
          <w:divBdr>
            <w:top w:val="none" w:sz="0" w:space="0" w:color="auto"/>
            <w:left w:val="none" w:sz="0" w:space="0" w:color="auto"/>
            <w:bottom w:val="none" w:sz="0" w:space="0" w:color="auto"/>
            <w:right w:val="none" w:sz="0" w:space="0" w:color="auto"/>
          </w:divBdr>
          <w:divsChild>
            <w:div w:id="763769838">
              <w:marLeft w:val="0"/>
              <w:marRight w:val="0"/>
              <w:marTop w:val="0"/>
              <w:marBottom w:val="0"/>
              <w:divBdr>
                <w:top w:val="none" w:sz="0" w:space="0" w:color="auto"/>
                <w:left w:val="none" w:sz="0" w:space="0" w:color="auto"/>
                <w:bottom w:val="none" w:sz="0" w:space="0" w:color="auto"/>
                <w:right w:val="none" w:sz="0" w:space="0" w:color="auto"/>
              </w:divBdr>
            </w:div>
          </w:divsChild>
        </w:div>
        <w:div w:id="1735161435">
          <w:marLeft w:val="0"/>
          <w:marRight w:val="0"/>
          <w:marTop w:val="0"/>
          <w:marBottom w:val="0"/>
          <w:divBdr>
            <w:top w:val="none" w:sz="0" w:space="0" w:color="auto"/>
            <w:left w:val="none" w:sz="0" w:space="0" w:color="auto"/>
            <w:bottom w:val="none" w:sz="0" w:space="0" w:color="auto"/>
            <w:right w:val="none" w:sz="0" w:space="0" w:color="auto"/>
          </w:divBdr>
        </w:div>
        <w:div w:id="769203830">
          <w:marLeft w:val="0"/>
          <w:marRight w:val="0"/>
          <w:marTop w:val="0"/>
          <w:marBottom w:val="0"/>
          <w:divBdr>
            <w:top w:val="none" w:sz="0" w:space="0" w:color="auto"/>
            <w:left w:val="none" w:sz="0" w:space="0" w:color="auto"/>
            <w:bottom w:val="none" w:sz="0" w:space="0" w:color="auto"/>
            <w:right w:val="none" w:sz="0" w:space="0" w:color="auto"/>
          </w:divBdr>
        </w:div>
      </w:divsChild>
    </w:div>
    <w:div w:id="655229186">
      <w:bodyDiv w:val="1"/>
      <w:marLeft w:val="0"/>
      <w:marRight w:val="0"/>
      <w:marTop w:val="0"/>
      <w:marBottom w:val="0"/>
      <w:divBdr>
        <w:top w:val="none" w:sz="0" w:space="0" w:color="auto"/>
        <w:left w:val="none" w:sz="0" w:space="0" w:color="auto"/>
        <w:bottom w:val="none" w:sz="0" w:space="0" w:color="auto"/>
        <w:right w:val="none" w:sz="0" w:space="0" w:color="auto"/>
      </w:divBdr>
    </w:div>
    <w:div w:id="699478164">
      <w:bodyDiv w:val="1"/>
      <w:marLeft w:val="0"/>
      <w:marRight w:val="0"/>
      <w:marTop w:val="0"/>
      <w:marBottom w:val="0"/>
      <w:divBdr>
        <w:top w:val="none" w:sz="0" w:space="0" w:color="auto"/>
        <w:left w:val="none" w:sz="0" w:space="0" w:color="auto"/>
        <w:bottom w:val="none" w:sz="0" w:space="0" w:color="auto"/>
        <w:right w:val="none" w:sz="0" w:space="0" w:color="auto"/>
      </w:divBdr>
    </w:div>
    <w:div w:id="704018615">
      <w:bodyDiv w:val="1"/>
      <w:marLeft w:val="0"/>
      <w:marRight w:val="0"/>
      <w:marTop w:val="0"/>
      <w:marBottom w:val="0"/>
      <w:divBdr>
        <w:top w:val="none" w:sz="0" w:space="0" w:color="auto"/>
        <w:left w:val="none" w:sz="0" w:space="0" w:color="auto"/>
        <w:bottom w:val="none" w:sz="0" w:space="0" w:color="auto"/>
        <w:right w:val="none" w:sz="0" w:space="0" w:color="auto"/>
      </w:divBdr>
    </w:div>
    <w:div w:id="812603518">
      <w:bodyDiv w:val="1"/>
      <w:marLeft w:val="0"/>
      <w:marRight w:val="0"/>
      <w:marTop w:val="0"/>
      <w:marBottom w:val="0"/>
      <w:divBdr>
        <w:top w:val="none" w:sz="0" w:space="0" w:color="auto"/>
        <w:left w:val="none" w:sz="0" w:space="0" w:color="auto"/>
        <w:bottom w:val="none" w:sz="0" w:space="0" w:color="auto"/>
        <w:right w:val="none" w:sz="0" w:space="0" w:color="auto"/>
      </w:divBdr>
    </w:div>
    <w:div w:id="840004805">
      <w:bodyDiv w:val="1"/>
      <w:marLeft w:val="0"/>
      <w:marRight w:val="0"/>
      <w:marTop w:val="0"/>
      <w:marBottom w:val="0"/>
      <w:divBdr>
        <w:top w:val="none" w:sz="0" w:space="0" w:color="auto"/>
        <w:left w:val="none" w:sz="0" w:space="0" w:color="auto"/>
        <w:bottom w:val="none" w:sz="0" w:space="0" w:color="auto"/>
        <w:right w:val="none" w:sz="0" w:space="0" w:color="auto"/>
      </w:divBdr>
    </w:div>
    <w:div w:id="996223511">
      <w:bodyDiv w:val="1"/>
      <w:marLeft w:val="0"/>
      <w:marRight w:val="0"/>
      <w:marTop w:val="0"/>
      <w:marBottom w:val="0"/>
      <w:divBdr>
        <w:top w:val="none" w:sz="0" w:space="0" w:color="auto"/>
        <w:left w:val="none" w:sz="0" w:space="0" w:color="auto"/>
        <w:bottom w:val="none" w:sz="0" w:space="0" w:color="auto"/>
        <w:right w:val="none" w:sz="0" w:space="0" w:color="auto"/>
      </w:divBdr>
    </w:div>
    <w:div w:id="1093086306">
      <w:bodyDiv w:val="1"/>
      <w:marLeft w:val="0"/>
      <w:marRight w:val="0"/>
      <w:marTop w:val="0"/>
      <w:marBottom w:val="0"/>
      <w:divBdr>
        <w:top w:val="none" w:sz="0" w:space="0" w:color="auto"/>
        <w:left w:val="none" w:sz="0" w:space="0" w:color="auto"/>
        <w:bottom w:val="none" w:sz="0" w:space="0" w:color="auto"/>
        <w:right w:val="none" w:sz="0" w:space="0" w:color="auto"/>
      </w:divBdr>
    </w:div>
    <w:div w:id="1292782804">
      <w:bodyDiv w:val="1"/>
      <w:marLeft w:val="0"/>
      <w:marRight w:val="0"/>
      <w:marTop w:val="0"/>
      <w:marBottom w:val="0"/>
      <w:divBdr>
        <w:top w:val="none" w:sz="0" w:space="0" w:color="auto"/>
        <w:left w:val="none" w:sz="0" w:space="0" w:color="auto"/>
        <w:bottom w:val="none" w:sz="0" w:space="0" w:color="auto"/>
        <w:right w:val="none" w:sz="0" w:space="0" w:color="auto"/>
      </w:divBdr>
    </w:div>
    <w:div w:id="1357317802">
      <w:bodyDiv w:val="1"/>
      <w:marLeft w:val="0"/>
      <w:marRight w:val="0"/>
      <w:marTop w:val="0"/>
      <w:marBottom w:val="0"/>
      <w:divBdr>
        <w:top w:val="none" w:sz="0" w:space="0" w:color="auto"/>
        <w:left w:val="none" w:sz="0" w:space="0" w:color="auto"/>
        <w:bottom w:val="none" w:sz="0" w:space="0" w:color="auto"/>
        <w:right w:val="none" w:sz="0" w:space="0" w:color="auto"/>
      </w:divBdr>
      <w:divsChild>
        <w:div w:id="870147458">
          <w:marLeft w:val="0"/>
          <w:marRight w:val="0"/>
          <w:marTop w:val="0"/>
          <w:marBottom w:val="0"/>
          <w:divBdr>
            <w:top w:val="none" w:sz="0" w:space="0" w:color="auto"/>
            <w:left w:val="none" w:sz="0" w:space="0" w:color="auto"/>
            <w:bottom w:val="none" w:sz="0" w:space="0" w:color="auto"/>
            <w:right w:val="none" w:sz="0" w:space="0" w:color="auto"/>
          </w:divBdr>
          <w:divsChild>
            <w:div w:id="1595240464">
              <w:marLeft w:val="0"/>
              <w:marRight w:val="0"/>
              <w:marTop w:val="0"/>
              <w:marBottom w:val="0"/>
              <w:divBdr>
                <w:top w:val="none" w:sz="0" w:space="0" w:color="auto"/>
                <w:left w:val="none" w:sz="0" w:space="0" w:color="auto"/>
                <w:bottom w:val="none" w:sz="0" w:space="0" w:color="auto"/>
                <w:right w:val="none" w:sz="0" w:space="0" w:color="auto"/>
              </w:divBdr>
              <w:divsChild>
                <w:div w:id="954365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998591">
      <w:bodyDiv w:val="1"/>
      <w:marLeft w:val="0"/>
      <w:marRight w:val="0"/>
      <w:marTop w:val="0"/>
      <w:marBottom w:val="0"/>
      <w:divBdr>
        <w:top w:val="none" w:sz="0" w:space="0" w:color="auto"/>
        <w:left w:val="none" w:sz="0" w:space="0" w:color="auto"/>
        <w:bottom w:val="none" w:sz="0" w:space="0" w:color="auto"/>
        <w:right w:val="none" w:sz="0" w:space="0" w:color="auto"/>
      </w:divBdr>
    </w:div>
    <w:div w:id="1538158096">
      <w:bodyDiv w:val="1"/>
      <w:marLeft w:val="0"/>
      <w:marRight w:val="0"/>
      <w:marTop w:val="0"/>
      <w:marBottom w:val="0"/>
      <w:divBdr>
        <w:top w:val="none" w:sz="0" w:space="0" w:color="auto"/>
        <w:left w:val="none" w:sz="0" w:space="0" w:color="auto"/>
        <w:bottom w:val="none" w:sz="0" w:space="0" w:color="auto"/>
        <w:right w:val="none" w:sz="0" w:space="0" w:color="auto"/>
      </w:divBdr>
    </w:div>
    <w:div w:id="1598251790">
      <w:bodyDiv w:val="1"/>
      <w:marLeft w:val="0"/>
      <w:marRight w:val="0"/>
      <w:marTop w:val="0"/>
      <w:marBottom w:val="0"/>
      <w:divBdr>
        <w:top w:val="none" w:sz="0" w:space="0" w:color="auto"/>
        <w:left w:val="none" w:sz="0" w:space="0" w:color="auto"/>
        <w:bottom w:val="none" w:sz="0" w:space="0" w:color="auto"/>
        <w:right w:val="none" w:sz="0" w:space="0" w:color="auto"/>
      </w:divBdr>
    </w:div>
    <w:div w:id="184952187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dave/Library/Group%20Containers/UBF8T346G9.Office/User%20Content.localized/Templates.localized/Dabble%20Word%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72A519C34937C458DA49925A286360C" ma:contentTypeVersion="10" ma:contentTypeDescription="Create a new document." ma:contentTypeScope="" ma:versionID="e55cda3a168ffedf658eead11cf471ad">
  <xsd:schema xmlns:xsd="http://www.w3.org/2001/XMLSchema" xmlns:xs="http://www.w3.org/2001/XMLSchema" xmlns:p="http://schemas.microsoft.com/office/2006/metadata/properties" xmlns:ns2="6f44bb5a-5b94-4365-aa1a-6c432d841f91" xmlns:ns3="c256da22-12c4-48c7-8dcf-289f9a944410" targetNamespace="http://schemas.microsoft.com/office/2006/metadata/properties" ma:root="true" ma:fieldsID="79b31c2b6582e5c909a8bcb0a5df553a" ns2:_="" ns3:_="">
    <xsd:import namespace="6f44bb5a-5b94-4365-aa1a-6c432d841f91"/>
    <xsd:import namespace="c256da22-12c4-48c7-8dcf-289f9a94441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f44bb5a-5b94-4365-aa1a-6c432d841f91"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256da22-12c4-48c7-8dcf-289f9a94441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4806B5-B743-4D4B-AD14-8348AEE8900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32BED70-5CCC-4ADA-869A-5E371931A3AB}">
  <ds:schemaRefs>
    <ds:schemaRef ds:uri="http://schemas.microsoft.com/sharepoint/v3/contenttype/forms"/>
  </ds:schemaRefs>
</ds:datastoreItem>
</file>

<file path=customXml/itemProps3.xml><?xml version="1.0" encoding="utf-8"?>
<ds:datastoreItem xmlns:ds="http://schemas.openxmlformats.org/officeDocument/2006/customXml" ds:itemID="{0B66AA42-4920-4B6D-9899-5A15C0BBE4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f44bb5a-5b94-4365-aa1a-6c432d841f91"/>
    <ds:schemaRef ds:uri="c256da22-12c4-48c7-8dcf-289f9a9444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Dabble Word Template.dotx</Template>
  <TotalTime>10</TotalTime>
  <Pages>7</Pages>
  <Words>1545</Words>
  <Characters>8809</Characters>
  <Application>Microsoft Office Word</Application>
  <DocSecurity>0</DocSecurity>
  <Lines>73</Lines>
  <Paragraphs>20</Paragraphs>
  <ScaleCrop>false</ScaleCrop>
  <Company/>
  <LinksUpToDate>false</LinksUpToDate>
  <CharactersWithSpaces>10334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Britt</dc:creator>
  <cp:keywords/>
  <dc:description/>
  <cp:lastModifiedBy>Dave Britt</cp:lastModifiedBy>
  <cp:revision>14</cp:revision>
  <dcterms:created xsi:type="dcterms:W3CDTF">2019-08-27T05:45:00Z</dcterms:created>
  <dcterms:modified xsi:type="dcterms:W3CDTF">2019-08-28T00:11:00Z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0x010100972A519C34937C458DA49925A286360C</vt:lpwstr>
  </property>
</Properties>
</file>