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143" w:rsidRDefault="00957232" w:rsidP="00957232">
      <w:pPr>
        <w:jc w:val="center"/>
      </w:pPr>
      <w:r>
        <w:rPr>
          <w:noProof/>
        </w:rPr>
        <w:drawing>
          <wp:inline distT="0" distB="0" distL="0" distR="0">
            <wp:extent cx="274320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d_logo_2c.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3200" cy="457200"/>
                    </a:xfrm>
                    <a:prstGeom prst="rect">
                      <a:avLst/>
                    </a:prstGeom>
                  </pic:spPr>
                </pic:pic>
              </a:graphicData>
            </a:graphic>
          </wp:inline>
        </w:drawing>
      </w:r>
    </w:p>
    <w:p w:rsidR="00957232" w:rsidRDefault="00957232" w:rsidP="00957232">
      <w:pPr>
        <w:jc w:val="center"/>
        <w:rPr>
          <w:b/>
          <w:sz w:val="28"/>
        </w:rPr>
      </w:pPr>
      <w:r w:rsidRPr="00957232">
        <w:rPr>
          <w:b/>
          <w:sz w:val="28"/>
        </w:rPr>
        <w:t>Measuring What Matters: Performance Management Institute</w:t>
      </w:r>
    </w:p>
    <w:p w:rsidR="00957232" w:rsidRDefault="00957232" w:rsidP="00957232">
      <w:pPr>
        <w:pStyle w:val="NoSpacing"/>
      </w:pPr>
      <w:r>
        <w:t>EMD Consulting Group is pleased to present</w:t>
      </w:r>
      <w:r w:rsidR="00532E40">
        <w:t xml:space="preserve"> Measuring What Matters, a </w:t>
      </w:r>
      <w:r>
        <w:t>performance management institute that combines individual technical assistance with cohort learning to strengthen an agency’s performance management system.</w:t>
      </w:r>
    </w:p>
    <w:p w:rsidR="00957232" w:rsidRDefault="00957232" w:rsidP="00957232">
      <w:pPr>
        <w:pStyle w:val="NoSpacing"/>
      </w:pPr>
    </w:p>
    <w:p w:rsidR="00957232" w:rsidRDefault="00957232" w:rsidP="00957232">
      <w:pPr>
        <w:pStyle w:val="NoSpacing"/>
      </w:pPr>
      <w:r>
        <w:t>What is Performance Management and why should nonprofits improve their performance management system?</w:t>
      </w:r>
    </w:p>
    <w:p w:rsidR="00957232" w:rsidRPr="00957232" w:rsidRDefault="00F456E9" w:rsidP="00957232">
      <w:pPr>
        <w:pStyle w:val="NoSpacing"/>
        <w:numPr>
          <w:ilvl w:val="0"/>
          <w:numId w:val="1"/>
        </w:numPr>
        <w:rPr>
          <w:sz w:val="20"/>
        </w:rPr>
      </w:pPr>
      <w:r>
        <w:rPr>
          <w:noProof/>
        </w:rPr>
        <mc:AlternateContent>
          <mc:Choice Requires="wps">
            <w:drawing>
              <wp:anchor distT="0" distB="0" distL="114300" distR="114300" simplePos="0" relativeHeight="251659264" behindDoc="0" locked="0" layoutInCell="0" allowOverlap="1" wp14:anchorId="1A1E3630" wp14:editId="141192E0">
                <wp:simplePos x="0" y="0"/>
                <wp:positionH relativeFrom="page">
                  <wp:posOffset>5320665</wp:posOffset>
                </wp:positionH>
                <wp:positionV relativeFrom="page">
                  <wp:posOffset>2663190</wp:posOffset>
                </wp:positionV>
                <wp:extent cx="2017395" cy="3698240"/>
                <wp:effectExtent l="0" t="0" r="15240" b="21590"/>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395" cy="3698240"/>
                        </a:xfrm>
                        <a:prstGeom prst="rect">
                          <a:avLst/>
                        </a:prstGeom>
                        <a:ln>
                          <a:headEnd/>
                          <a:tailEnd/>
                        </a:ln>
                        <a:extLst/>
                      </wps:spPr>
                      <wps:style>
                        <a:lnRef idx="2">
                          <a:schemeClr val="accent3">
                            <a:shade val="50000"/>
                          </a:schemeClr>
                        </a:lnRef>
                        <a:fillRef idx="1">
                          <a:schemeClr val="accent3"/>
                        </a:fillRef>
                        <a:effectRef idx="0">
                          <a:schemeClr val="accent3"/>
                        </a:effectRef>
                        <a:fontRef idx="minor">
                          <a:schemeClr val="lt1"/>
                        </a:fontRef>
                      </wps:style>
                      <wps:txbx>
                        <w:txbxContent>
                          <w:p w:rsidR="00957232" w:rsidRPr="00F456E9" w:rsidRDefault="00957232" w:rsidP="00F456E9">
                            <w:pPr>
                              <w:pStyle w:val="NoSpacing"/>
                              <w:rPr>
                                <w:rFonts w:ascii="Arial" w:hAnsi="Arial" w:cs="Arial"/>
                                <w:sz w:val="16"/>
                              </w:rPr>
                            </w:pPr>
                            <w:r w:rsidRPr="00F456E9">
                              <w:rPr>
                                <w:rFonts w:ascii="Arial" w:hAnsi="Arial" w:cs="Arial"/>
                                <w:sz w:val="16"/>
                              </w:rPr>
                              <w:t>“High performance is the ability to deliver – over a prolonged period of time – meaningful, measurable, and financially sustainable results for the people or causes the organization is in existence to serve.”</w:t>
                            </w:r>
                          </w:p>
                          <w:p w:rsidR="00957232" w:rsidRPr="00F456E9" w:rsidRDefault="00F456E9" w:rsidP="00F456E9">
                            <w:pPr>
                              <w:pStyle w:val="NoSpacing"/>
                              <w:ind w:firstLine="720"/>
                              <w:rPr>
                                <w:rFonts w:ascii="Arial" w:hAnsi="Arial" w:cs="Arial"/>
                                <w:sz w:val="16"/>
                              </w:rPr>
                            </w:pPr>
                            <w:r w:rsidRPr="00F456E9">
                              <w:rPr>
                                <w:rFonts w:ascii="Arial" w:hAnsi="Arial" w:cs="Arial"/>
                                <w:sz w:val="16"/>
                              </w:rPr>
                              <w:t>Performance Imperative</w:t>
                            </w:r>
                          </w:p>
                        </w:txbxContent>
                      </wps:txbx>
                      <wps:bodyPr rot="0" vert="horz" wrap="square" lIns="137160" tIns="91440" rIns="137160" bIns="91440" anchor="ctr" anchorCtr="0" upright="1">
                        <a:spAutoFit/>
                      </wps:bodyPr>
                    </wps:wsp>
                  </a:graphicData>
                </a:graphic>
                <wp14:sizeRelH relativeFrom="margin">
                  <wp14:pctWidth>35000</wp14:pctWidth>
                </wp14:sizeRelH>
                <wp14:sizeRelV relativeFrom="page">
                  <wp14:pctHeight>0</wp14:pctHeight>
                </wp14:sizeRelV>
              </wp:anchor>
            </w:drawing>
          </mc:Choice>
          <mc:Fallback xmlns:w15="http://schemas.microsoft.com/office/word/2012/wordml">
            <w:pict>
              <v:shapetype w14:anchorId="1A1E3630" id="_x0000_t202" coordsize="21600,21600" o:spt="202" path="m,l,21600r21600,l21600,xe">
                <v:stroke joinstyle="miter"/>
                <v:path gradientshapeok="t" o:connecttype="rect"/>
              </v:shapetype>
              <v:shape id="Text Box 2" o:spid="_x0000_s1026" type="#_x0000_t202" style="position:absolute;left:0;text-align:left;margin-left:418.95pt;margin-top:209.7pt;width:158.85pt;height:291.2pt;z-index:251659264;visibility:visible;mso-wrap-style:square;mso-width-percent:350;mso-height-percent:0;mso-wrap-distance-left:9pt;mso-wrap-distance-top:0;mso-wrap-distance-right:9pt;mso-wrap-distance-bottom:0;mso-position-horizontal:absolute;mso-position-horizontal-relative:page;mso-position-vertical:absolute;mso-position-vertical-relative:page;mso-width-percent:35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" o:allowincell="f" fillcolor="#9bbb59 [3206]" strokecolor="#4e6128 [1606]" strokeweight="2pt">
                <v:textbox style="mso-fit-shape-to-text:t" inset="10.8pt,7.2pt,10.8pt,7.2pt">
                  <w:txbxContent>
                    <w:p w:rsidR="00957232" w:rsidRPr="00F456E9" w:rsidRDefault="00957232" w:rsidP="00F456E9">
                      <w:pPr>
                        <w:pStyle w:val="NoSpacing"/>
                        <w:rPr>
                          <w:rFonts w:ascii="Arial" w:hAnsi="Arial" w:cs="Arial"/>
                          <w:sz w:val="16"/>
                        </w:rPr>
                      </w:pPr>
                      <w:r w:rsidRPr="00F456E9">
                        <w:rPr>
                          <w:rFonts w:ascii="Arial" w:hAnsi="Arial" w:cs="Arial"/>
                          <w:sz w:val="16"/>
                        </w:rPr>
                        <w:t>“High performance is the ability to deliver – over a prolonged period of time – meaningful, measurable, and financially sustainable results for the people or causes the organization is in existence to serve.”</w:t>
                      </w:r>
                    </w:p>
                    <w:p w:rsidR="00957232" w:rsidRPr="00F456E9" w:rsidRDefault="00F456E9" w:rsidP="00F456E9">
                      <w:pPr>
                        <w:pStyle w:val="NoSpacing"/>
                        <w:ind w:firstLine="720"/>
                        <w:rPr>
                          <w:rFonts w:ascii="Arial" w:hAnsi="Arial" w:cs="Arial"/>
                          <w:sz w:val="16"/>
                        </w:rPr>
                      </w:pPr>
                      <w:r w:rsidRPr="00F456E9">
                        <w:rPr>
                          <w:rFonts w:ascii="Arial" w:hAnsi="Arial" w:cs="Arial"/>
                          <w:sz w:val="16"/>
                        </w:rPr>
                        <w:t>Performance Imperative</w:t>
                      </w:r>
                    </w:p>
                  </w:txbxContent>
                </v:textbox>
                <w10:wrap type="square" anchorx="page" anchory="page"/>
              </v:shape>
            </w:pict>
          </mc:Fallback>
        </mc:AlternateContent>
      </w:r>
      <w:r w:rsidR="00957232" w:rsidRPr="00957232">
        <w:rPr>
          <w:sz w:val="20"/>
        </w:rPr>
        <w:t xml:space="preserve">High performance within nonprofits is necessary because </w:t>
      </w:r>
      <w:r w:rsidR="00957232" w:rsidRPr="00957232">
        <w:rPr>
          <w:b/>
          <w:sz w:val="20"/>
        </w:rPr>
        <w:t>outcomes matter</w:t>
      </w:r>
      <w:r w:rsidR="00957232" w:rsidRPr="00957232">
        <w:rPr>
          <w:sz w:val="20"/>
        </w:rPr>
        <w:t xml:space="preserve"> – to service consumers, staff, Board members, funders, and the community.</w:t>
      </w:r>
    </w:p>
    <w:p w:rsidR="00957232" w:rsidRPr="00957232" w:rsidRDefault="00957232" w:rsidP="00957232">
      <w:pPr>
        <w:pStyle w:val="NoSpacing"/>
        <w:numPr>
          <w:ilvl w:val="0"/>
          <w:numId w:val="1"/>
        </w:numPr>
        <w:rPr>
          <w:sz w:val="20"/>
        </w:rPr>
      </w:pPr>
      <w:r w:rsidRPr="00957232">
        <w:rPr>
          <w:sz w:val="20"/>
        </w:rPr>
        <w:t>Performance management is a process that provides agencies with the ability to manage to outcomes.  Managing to outcomes is NOT a knee-jerk reaction to funder requirements but, instead, is mission-driven and provides a way to demonstrate the impact of the agency’s service delivery model.</w:t>
      </w:r>
    </w:p>
    <w:p w:rsidR="00957232" w:rsidRPr="00957232" w:rsidRDefault="00957232" w:rsidP="00957232">
      <w:pPr>
        <w:pStyle w:val="NoSpacing"/>
        <w:numPr>
          <w:ilvl w:val="0"/>
          <w:numId w:val="1"/>
        </w:numPr>
        <w:rPr>
          <w:sz w:val="20"/>
        </w:rPr>
      </w:pPr>
      <w:r w:rsidRPr="00957232">
        <w:rPr>
          <w:sz w:val="20"/>
        </w:rPr>
        <w:t>Managing to outcomes supports sound strategic decision-making, planning, and business development.</w:t>
      </w:r>
    </w:p>
    <w:p w:rsidR="00957232" w:rsidRDefault="00957232" w:rsidP="00F456E9">
      <w:pPr>
        <w:pStyle w:val="NoSpacing"/>
      </w:pPr>
    </w:p>
    <w:p w:rsidR="00957232" w:rsidRDefault="00A96FB0" w:rsidP="00957232">
      <w:pPr>
        <w:pStyle w:val="NoSpacing"/>
      </w:pPr>
      <w:r>
        <w:t>Several</w:t>
      </w:r>
      <w:r w:rsidR="00957232" w:rsidRPr="00957232">
        <w:t xml:space="preserve"> agencies will participate in the institute; each will focus on one program</w:t>
      </w:r>
      <w:r w:rsidR="00957232">
        <w:t>’s performan</w:t>
      </w:r>
      <w:r w:rsidR="00957232" w:rsidRPr="00957232">
        <w:t>ce management processes.  Organizations develop systems at different speeds; the program is designed to accommodate this, with individually designed consultations for each participating age</w:t>
      </w:r>
      <w:r w:rsidR="00957232">
        <w:t>ncy.  The goal is that each age</w:t>
      </w:r>
      <w:r w:rsidR="00957232" w:rsidRPr="00957232">
        <w:t xml:space="preserve">ncy will develop a culture and practices around performance management.  Up to </w:t>
      </w:r>
      <w:r>
        <w:t>four</w:t>
      </w:r>
      <w:r w:rsidR="00957232" w:rsidRPr="00957232">
        <w:t xml:space="preserve"> individual</w:t>
      </w:r>
      <w:r w:rsidR="00532E40">
        <w:t>s</w:t>
      </w:r>
      <w:r w:rsidR="000F1C7A">
        <w:t xml:space="preserve"> will consistently</w:t>
      </w:r>
      <w:r w:rsidR="00957232" w:rsidRPr="00957232">
        <w:t xml:space="preserve"> participate from each agency, creating a team of performance </w:t>
      </w:r>
      <w:r w:rsidR="00957232">
        <w:t>management and implementation e</w:t>
      </w:r>
      <w:r w:rsidR="00957232" w:rsidRPr="00957232">
        <w:t>xperts within the agency.</w:t>
      </w:r>
    </w:p>
    <w:p w:rsidR="00957232" w:rsidRDefault="00957232" w:rsidP="00957232">
      <w:pPr>
        <w:pStyle w:val="NoSpacing"/>
      </w:pPr>
    </w:p>
    <w:p w:rsidR="00957232" w:rsidRPr="00F456E9" w:rsidRDefault="00957232" w:rsidP="00957232">
      <w:pPr>
        <w:pStyle w:val="NoSpacing"/>
        <w:rPr>
          <w:b/>
        </w:rPr>
      </w:pPr>
      <w:r w:rsidRPr="00F456E9">
        <w:rPr>
          <w:b/>
        </w:rPr>
        <w:t>Institute Schedule</w:t>
      </w:r>
    </w:p>
    <w:tbl>
      <w:tblPr>
        <w:tblStyle w:val="LightList-Accent3"/>
        <w:tblW w:w="9774" w:type="dxa"/>
        <w:tblInd w:w="108" w:type="dxa"/>
        <w:tblLook w:val="0420" w:firstRow="1" w:lastRow="0" w:firstColumn="0" w:lastColumn="0" w:noHBand="0" w:noVBand="1"/>
      </w:tblPr>
      <w:tblGrid>
        <w:gridCol w:w="1620"/>
        <w:gridCol w:w="4032"/>
        <w:gridCol w:w="1728"/>
        <w:gridCol w:w="2394"/>
      </w:tblGrid>
      <w:tr w:rsidR="00F456E9" w:rsidTr="00A96FB0">
        <w:trPr>
          <w:cnfStyle w:val="100000000000" w:firstRow="1" w:lastRow="0" w:firstColumn="0" w:lastColumn="0" w:oddVBand="0" w:evenVBand="0" w:oddHBand="0" w:evenHBand="0" w:firstRowFirstColumn="0" w:firstRowLastColumn="0" w:lastRowFirstColumn="0" w:lastRowLastColumn="0"/>
        </w:trPr>
        <w:tc>
          <w:tcPr>
            <w:tcW w:w="1620" w:type="dxa"/>
          </w:tcPr>
          <w:p w:rsidR="00957232" w:rsidRDefault="00F456E9" w:rsidP="00957232">
            <w:pPr>
              <w:pStyle w:val="NoSpacing"/>
            </w:pPr>
            <w:r>
              <w:t>Format</w:t>
            </w:r>
          </w:p>
        </w:tc>
        <w:tc>
          <w:tcPr>
            <w:tcW w:w="4032" w:type="dxa"/>
          </w:tcPr>
          <w:p w:rsidR="00957232" w:rsidRDefault="00F456E9" w:rsidP="00957232">
            <w:pPr>
              <w:pStyle w:val="NoSpacing"/>
            </w:pPr>
            <w:r>
              <w:t>Topic</w:t>
            </w:r>
          </w:p>
        </w:tc>
        <w:tc>
          <w:tcPr>
            <w:tcW w:w="1728" w:type="dxa"/>
          </w:tcPr>
          <w:p w:rsidR="00957232" w:rsidRDefault="00F456E9" w:rsidP="00957232">
            <w:pPr>
              <w:pStyle w:val="NoSpacing"/>
            </w:pPr>
            <w:r>
              <w:t>Date &amp; Time</w:t>
            </w:r>
          </w:p>
        </w:tc>
        <w:tc>
          <w:tcPr>
            <w:tcW w:w="2394" w:type="dxa"/>
          </w:tcPr>
          <w:p w:rsidR="00957232" w:rsidRDefault="00F456E9" w:rsidP="00957232">
            <w:pPr>
              <w:pStyle w:val="NoSpacing"/>
            </w:pPr>
            <w:r>
              <w:t>Location</w:t>
            </w:r>
          </w:p>
        </w:tc>
      </w:tr>
      <w:tr w:rsidR="00E45825" w:rsidTr="00A96FB0">
        <w:trPr>
          <w:cnfStyle w:val="000000100000" w:firstRow="0" w:lastRow="0" w:firstColumn="0" w:lastColumn="0" w:oddVBand="0" w:evenVBand="0" w:oddHBand="1" w:evenHBand="0" w:firstRowFirstColumn="0" w:firstRowLastColumn="0" w:lastRowFirstColumn="0" w:lastRowLastColumn="0"/>
        </w:trPr>
        <w:tc>
          <w:tcPr>
            <w:tcW w:w="1620" w:type="dxa"/>
            <w:vAlign w:val="center"/>
          </w:tcPr>
          <w:p w:rsidR="00957232" w:rsidRPr="00F456E9" w:rsidRDefault="00F456E9" w:rsidP="00E45825">
            <w:pPr>
              <w:pStyle w:val="NoSpacing"/>
              <w:rPr>
                <w:sz w:val="20"/>
              </w:rPr>
            </w:pPr>
            <w:r w:rsidRPr="00F456E9">
              <w:rPr>
                <w:sz w:val="20"/>
              </w:rPr>
              <w:t>Consultation 1</w:t>
            </w:r>
          </w:p>
        </w:tc>
        <w:tc>
          <w:tcPr>
            <w:tcW w:w="4032" w:type="dxa"/>
            <w:vAlign w:val="center"/>
          </w:tcPr>
          <w:p w:rsidR="00957232" w:rsidRPr="00F456E9" w:rsidRDefault="00F456E9" w:rsidP="00E45825">
            <w:pPr>
              <w:pStyle w:val="NoSpacing"/>
              <w:rPr>
                <w:sz w:val="20"/>
              </w:rPr>
            </w:pPr>
            <w:r w:rsidRPr="00F456E9">
              <w:rPr>
                <w:sz w:val="20"/>
              </w:rPr>
              <w:t>Pre-assessment</w:t>
            </w:r>
          </w:p>
        </w:tc>
        <w:tc>
          <w:tcPr>
            <w:tcW w:w="1728" w:type="dxa"/>
            <w:vAlign w:val="center"/>
          </w:tcPr>
          <w:p w:rsidR="00957232" w:rsidRPr="00F456E9" w:rsidRDefault="00A96FB0" w:rsidP="00E45825">
            <w:pPr>
              <w:pStyle w:val="NoSpacing"/>
              <w:rPr>
                <w:sz w:val="20"/>
              </w:rPr>
            </w:pPr>
            <w:r>
              <w:rPr>
                <w:sz w:val="20"/>
              </w:rPr>
              <w:t>Need to be able to input</w:t>
            </w:r>
          </w:p>
        </w:tc>
        <w:tc>
          <w:tcPr>
            <w:tcW w:w="2394" w:type="dxa"/>
            <w:vAlign w:val="center"/>
          </w:tcPr>
          <w:p w:rsidR="00957232" w:rsidRPr="00F456E9" w:rsidRDefault="00F456E9" w:rsidP="00E45825">
            <w:pPr>
              <w:pStyle w:val="NoSpacing"/>
              <w:rPr>
                <w:sz w:val="20"/>
              </w:rPr>
            </w:pPr>
            <w:r w:rsidRPr="00F456E9">
              <w:rPr>
                <w:sz w:val="20"/>
              </w:rPr>
              <w:t>Agency</w:t>
            </w:r>
          </w:p>
        </w:tc>
      </w:tr>
      <w:tr w:rsidR="00E45825" w:rsidTr="00A96FB0">
        <w:tc>
          <w:tcPr>
            <w:tcW w:w="1620" w:type="dxa"/>
            <w:vAlign w:val="center"/>
          </w:tcPr>
          <w:p w:rsidR="00957232" w:rsidRPr="00F456E9" w:rsidRDefault="00F456E9" w:rsidP="00E45825">
            <w:pPr>
              <w:pStyle w:val="NoSpacing"/>
              <w:rPr>
                <w:sz w:val="20"/>
              </w:rPr>
            </w:pPr>
            <w:r w:rsidRPr="00F456E9">
              <w:rPr>
                <w:sz w:val="20"/>
              </w:rPr>
              <w:t xml:space="preserve">Session 1 </w:t>
            </w:r>
          </w:p>
        </w:tc>
        <w:tc>
          <w:tcPr>
            <w:tcW w:w="4032" w:type="dxa"/>
            <w:vAlign w:val="center"/>
          </w:tcPr>
          <w:p w:rsidR="00957232" w:rsidRPr="00F456E9" w:rsidRDefault="00F456E9" w:rsidP="00E45825">
            <w:pPr>
              <w:pStyle w:val="NoSpacing"/>
              <w:rPr>
                <w:sz w:val="20"/>
              </w:rPr>
            </w:pPr>
            <w:r w:rsidRPr="00F456E9">
              <w:rPr>
                <w:sz w:val="20"/>
              </w:rPr>
              <w:t>What’s your impact?</w:t>
            </w:r>
          </w:p>
        </w:tc>
        <w:tc>
          <w:tcPr>
            <w:tcW w:w="1728" w:type="dxa"/>
            <w:vAlign w:val="center"/>
          </w:tcPr>
          <w:p w:rsidR="00957232" w:rsidRDefault="00A96FB0" w:rsidP="00E45825">
            <w:pPr>
              <w:pStyle w:val="NoSpacing"/>
              <w:rPr>
                <w:sz w:val="20"/>
              </w:rPr>
            </w:pPr>
            <w:r>
              <w:rPr>
                <w:sz w:val="20"/>
              </w:rPr>
              <w:t>Date</w:t>
            </w:r>
          </w:p>
          <w:p w:rsidR="00D37A38" w:rsidRPr="00F456E9" w:rsidRDefault="00A96FB0" w:rsidP="00E45825">
            <w:pPr>
              <w:pStyle w:val="NoSpacing"/>
              <w:rPr>
                <w:sz w:val="20"/>
              </w:rPr>
            </w:pPr>
            <w:r>
              <w:rPr>
                <w:sz w:val="20"/>
              </w:rPr>
              <w:t>8:30am – 12:30pm</w:t>
            </w:r>
          </w:p>
        </w:tc>
        <w:tc>
          <w:tcPr>
            <w:tcW w:w="2394" w:type="dxa"/>
            <w:vAlign w:val="center"/>
          </w:tcPr>
          <w:p w:rsidR="00957232" w:rsidRPr="00F456E9" w:rsidRDefault="00F456E9" w:rsidP="00E45825">
            <w:pPr>
              <w:pStyle w:val="NoSpacing"/>
              <w:rPr>
                <w:sz w:val="20"/>
              </w:rPr>
            </w:pPr>
            <w:r w:rsidRPr="00F456E9">
              <w:rPr>
                <w:sz w:val="20"/>
              </w:rPr>
              <w:t>Forest Park Visitors Center</w:t>
            </w:r>
            <w:r w:rsidR="00E873E2">
              <w:rPr>
                <w:sz w:val="20"/>
              </w:rPr>
              <w:t>*</w:t>
            </w:r>
          </w:p>
        </w:tc>
      </w:tr>
      <w:tr w:rsidR="00532E40" w:rsidTr="00A96FB0">
        <w:trPr>
          <w:cnfStyle w:val="000000100000" w:firstRow="0" w:lastRow="0" w:firstColumn="0" w:lastColumn="0" w:oddVBand="0" w:evenVBand="0" w:oddHBand="1" w:evenHBand="0" w:firstRowFirstColumn="0" w:firstRowLastColumn="0" w:lastRowFirstColumn="0" w:lastRowLastColumn="0"/>
        </w:trPr>
        <w:tc>
          <w:tcPr>
            <w:tcW w:w="1620" w:type="dxa"/>
            <w:vAlign w:val="center"/>
          </w:tcPr>
          <w:p w:rsidR="00532E40" w:rsidRPr="00F456E9" w:rsidRDefault="00532E40" w:rsidP="00F3734A">
            <w:pPr>
              <w:pStyle w:val="NoSpacing"/>
              <w:rPr>
                <w:sz w:val="20"/>
              </w:rPr>
            </w:pPr>
            <w:r w:rsidRPr="00F456E9">
              <w:rPr>
                <w:sz w:val="20"/>
              </w:rPr>
              <w:t>Consultation 2</w:t>
            </w:r>
          </w:p>
        </w:tc>
        <w:tc>
          <w:tcPr>
            <w:tcW w:w="4032" w:type="dxa"/>
            <w:vAlign w:val="center"/>
          </w:tcPr>
          <w:p w:rsidR="00532E40" w:rsidRPr="00F456E9" w:rsidRDefault="00532E40" w:rsidP="00F3734A">
            <w:pPr>
              <w:pStyle w:val="NoSpacing"/>
              <w:rPr>
                <w:sz w:val="20"/>
              </w:rPr>
            </w:pPr>
            <w:r w:rsidRPr="00F456E9">
              <w:rPr>
                <w:sz w:val="20"/>
              </w:rPr>
              <w:t>Individually paced</w:t>
            </w:r>
          </w:p>
        </w:tc>
        <w:tc>
          <w:tcPr>
            <w:tcW w:w="1728" w:type="dxa"/>
            <w:vAlign w:val="center"/>
          </w:tcPr>
          <w:p w:rsidR="00532E40" w:rsidRPr="00F456E9" w:rsidRDefault="00A96FB0" w:rsidP="00F3734A">
            <w:pPr>
              <w:pStyle w:val="NoSpacing"/>
              <w:rPr>
                <w:sz w:val="20"/>
              </w:rPr>
            </w:pPr>
            <w:r>
              <w:rPr>
                <w:sz w:val="20"/>
              </w:rPr>
              <w:t>Date</w:t>
            </w:r>
          </w:p>
        </w:tc>
        <w:tc>
          <w:tcPr>
            <w:tcW w:w="2394" w:type="dxa"/>
            <w:vAlign w:val="center"/>
          </w:tcPr>
          <w:p w:rsidR="00532E40" w:rsidRPr="00F456E9" w:rsidRDefault="00532E40" w:rsidP="00F3734A">
            <w:pPr>
              <w:pStyle w:val="NoSpacing"/>
              <w:rPr>
                <w:sz w:val="20"/>
              </w:rPr>
            </w:pPr>
            <w:r w:rsidRPr="00F456E9">
              <w:rPr>
                <w:sz w:val="20"/>
              </w:rPr>
              <w:t>Agency</w:t>
            </w:r>
          </w:p>
        </w:tc>
      </w:tr>
      <w:tr w:rsidR="00532E40" w:rsidTr="00A96FB0">
        <w:tc>
          <w:tcPr>
            <w:tcW w:w="1620" w:type="dxa"/>
            <w:vAlign w:val="center"/>
          </w:tcPr>
          <w:p w:rsidR="00532E40" w:rsidRPr="00F456E9" w:rsidRDefault="00532E40" w:rsidP="00E45825">
            <w:pPr>
              <w:pStyle w:val="NoSpacing"/>
              <w:rPr>
                <w:sz w:val="20"/>
              </w:rPr>
            </w:pPr>
            <w:r>
              <w:rPr>
                <w:sz w:val="20"/>
              </w:rPr>
              <w:t>Session 2</w:t>
            </w:r>
          </w:p>
        </w:tc>
        <w:tc>
          <w:tcPr>
            <w:tcW w:w="4032" w:type="dxa"/>
            <w:vAlign w:val="center"/>
          </w:tcPr>
          <w:p w:rsidR="00532E40" w:rsidRPr="00F456E9" w:rsidRDefault="00532E40" w:rsidP="00E45825">
            <w:pPr>
              <w:pStyle w:val="NoSpacing"/>
              <w:rPr>
                <w:sz w:val="20"/>
              </w:rPr>
            </w:pPr>
            <w:r>
              <w:rPr>
                <w:sz w:val="20"/>
              </w:rPr>
              <w:t>What outcomes can you and should you measure?</w:t>
            </w:r>
          </w:p>
        </w:tc>
        <w:tc>
          <w:tcPr>
            <w:tcW w:w="1728" w:type="dxa"/>
            <w:vAlign w:val="center"/>
          </w:tcPr>
          <w:p w:rsidR="00532E40" w:rsidRPr="00E873E2" w:rsidRDefault="00A96FB0" w:rsidP="00E45825">
            <w:pPr>
              <w:pStyle w:val="NoSpacing"/>
              <w:rPr>
                <w:color w:val="000000" w:themeColor="text1"/>
                <w:sz w:val="20"/>
              </w:rPr>
            </w:pPr>
            <w:r>
              <w:rPr>
                <w:color w:val="000000" w:themeColor="text1"/>
                <w:sz w:val="20"/>
              </w:rPr>
              <w:t>Date</w:t>
            </w:r>
          </w:p>
          <w:p w:rsidR="00D37A38" w:rsidRPr="00F456E9" w:rsidRDefault="00A96FB0" w:rsidP="00A96FB0">
            <w:pPr>
              <w:pStyle w:val="NoSpacing"/>
              <w:rPr>
                <w:sz w:val="20"/>
              </w:rPr>
            </w:pPr>
            <w:r>
              <w:rPr>
                <w:sz w:val="20"/>
              </w:rPr>
              <w:t>8:30am – 12:30pm</w:t>
            </w:r>
          </w:p>
        </w:tc>
        <w:tc>
          <w:tcPr>
            <w:tcW w:w="2394" w:type="dxa"/>
            <w:vAlign w:val="center"/>
          </w:tcPr>
          <w:p w:rsidR="00532E40" w:rsidRPr="00F456E9" w:rsidRDefault="00532E40" w:rsidP="00E45825">
            <w:pPr>
              <w:pStyle w:val="NoSpacing"/>
              <w:rPr>
                <w:sz w:val="20"/>
              </w:rPr>
            </w:pPr>
            <w:r w:rsidRPr="00F456E9">
              <w:rPr>
                <w:sz w:val="20"/>
              </w:rPr>
              <w:t>Forest Park Visitors Center</w:t>
            </w:r>
            <w:r w:rsidR="00E873E2">
              <w:rPr>
                <w:sz w:val="20"/>
              </w:rPr>
              <w:t>*</w:t>
            </w:r>
          </w:p>
        </w:tc>
      </w:tr>
      <w:tr w:rsidR="00532E40" w:rsidTr="00A96FB0">
        <w:trPr>
          <w:cnfStyle w:val="000000100000" w:firstRow="0" w:lastRow="0" w:firstColumn="0" w:lastColumn="0" w:oddVBand="0" w:evenVBand="0" w:oddHBand="1" w:evenHBand="0" w:firstRowFirstColumn="0" w:firstRowLastColumn="0" w:lastRowFirstColumn="0" w:lastRowLastColumn="0"/>
        </w:trPr>
        <w:tc>
          <w:tcPr>
            <w:tcW w:w="1620" w:type="dxa"/>
            <w:vAlign w:val="center"/>
          </w:tcPr>
          <w:p w:rsidR="00532E40" w:rsidRPr="00F456E9" w:rsidRDefault="00532E40" w:rsidP="00E45825">
            <w:pPr>
              <w:pStyle w:val="NoSpacing"/>
              <w:rPr>
                <w:sz w:val="20"/>
              </w:rPr>
            </w:pPr>
            <w:r w:rsidRPr="00F456E9">
              <w:rPr>
                <w:sz w:val="20"/>
              </w:rPr>
              <w:t>Session 3</w:t>
            </w:r>
          </w:p>
        </w:tc>
        <w:tc>
          <w:tcPr>
            <w:tcW w:w="4032" w:type="dxa"/>
            <w:vAlign w:val="center"/>
          </w:tcPr>
          <w:p w:rsidR="00532E40" w:rsidRPr="00F456E9" w:rsidRDefault="00532E40" w:rsidP="00E45825">
            <w:pPr>
              <w:pStyle w:val="NoSpacing"/>
              <w:rPr>
                <w:sz w:val="20"/>
              </w:rPr>
            </w:pPr>
            <w:r w:rsidRPr="00F456E9">
              <w:rPr>
                <w:sz w:val="20"/>
              </w:rPr>
              <w:t>W</w:t>
            </w:r>
            <w:r>
              <w:rPr>
                <w:sz w:val="20"/>
              </w:rPr>
              <w:t>hat processes can you and should you measure</w:t>
            </w:r>
            <w:r w:rsidRPr="00F456E9">
              <w:rPr>
                <w:sz w:val="20"/>
              </w:rPr>
              <w:t>?</w:t>
            </w:r>
          </w:p>
        </w:tc>
        <w:tc>
          <w:tcPr>
            <w:tcW w:w="1728" w:type="dxa"/>
            <w:vAlign w:val="center"/>
          </w:tcPr>
          <w:p w:rsidR="00A96FB0" w:rsidRDefault="00A96FB0" w:rsidP="00E45825">
            <w:pPr>
              <w:pStyle w:val="NoSpacing"/>
              <w:rPr>
                <w:sz w:val="20"/>
              </w:rPr>
            </w:pPr>
            <w:r>
              <w:rPr>
                <w:sz w:val="20"/>
              </w:rPr>
              <w:t>Date</w:t>
            </w:r>
          </w:p>
          <w:p w:rsidR="00D37A38" w:rsidRPr="00F456E9" w:rsidRDefault="00A96FB0" w:rsidP="00E45825">
            <w:pPr>
              <w:pStyle w:val="NoSpacing"/>
              <w:rPr>
                <w:sz w:val="20"/>
              </w:rPr>
            </w:pPr>
            <w:r>
              <w:rPr>
                <w:sz w:val="20"/>
              </w:rPr>
              <w:t>8:30am – 12:30pm</w:t>
            </w:r>
          </w:p>
        </w:tc>
        <w:tc>
          <w:tcPr>
            <w:tcW w:w="2394" w:type="dxa"/>
            <w:vAlign w:val="center"/>
          </w:tcPr>
          <w:p w:rsidR="00532E40" w:rsidRPr="00F456E9" w:rsidRDefault="00532E40" w:rsidP="00E45825">
            <w:pPr>
              <w:pStyle w:val="NoSpacing"/>
              <w:rPr>
                <w:sz w:val="20"/>
              </w:rPr>
            </w:pPr>
            <w:r w:rsidRPr="00F456E9">
              <w:rPr>
                <w:sz w:val="20"/>
              </w:rPr>
              <w:t>Forest Park Visitors Center</w:t>
            </w:r>
            <w:r w:rsidR="00E873E2">
              <w:rPr>
                <w:sz w:val="20"/>
              </w:rPr>
              <w:t>*</w:t>
            </w:r>
          </w:p>
        </w:tc>
      </w:tr>
      <w:tr w:rsidR="00532E40" w:rsidTr="00A96FB0">
        <w:tc>
          <w:tcPr>
            <w:tcW w:w="1620" w:type="dxa"/>
            <w:vAlign w:val="center"/>
          </w:tcPr>
          <w:p w:rsidR="00532E40" w:rsidRPr="00F456E9" w:rsidRDefault="00532E40" w:rsidP="00E45825">
            <w:pPr>
              <w:pStyle w:val="NoSpacing"/>
              <w:rPr>
                <w:sz w:val="20"/>
              </w:rPr>
            </w:pPr>
            <w:r w:rsidRPr="00F456E9">
              <w:rPr>
                <w:sz w:val="20"/>
              </w:rPr>
              <w:t>Consultation 3</w:t>
            </w:r>
          </w:p>
        </w:tc>
        <w:tc>
          <w:tcPr>
            <w:tcW w:w="4032" w:type="dxa"/>
            <w:vAlign w:val="center"/>
          </w:tcPr>
          <w:p w:rsidR="00532E40" w:rsidRPr="00F456E9" w:rsidRDefault="00532E40" w:rsidP="00E45825">
            <w:pPr>
              <w:pStyle w:val="NoSpacing"/>
              <w:rPr>
                <w:sz w:val="20"/>
              </w:rPr>
            </w:pPr>
            <w:r w:rsidRPr="00F456E9">
              <w:rPr>
                <w:sz w:val="20"/>
              </w:rPr>
              <w:t>Individually paced</w:t>
            </w:r>
          </w:p>
        </w:tc>
        <w:tc>
          <w:tcPr>
            <w:tcW w:w="1728" w:type="dxa"/>
            <w:vAlign w:val="center"/>
          </w:tcPr>
          <w:p w:rsidR="00532E40" w:rsidRPr="00F456E9" w:rsidRDefault="00A96FB0" w:rsidP="00E45825">
            <w:pPr>
              <w:pStyle w:val="NoSpacing"/>
              <w:rPr>
                <w:sz w:val="20"/>
              </w:rPr>
            </w:pPr>
            <w:r>
              <w:rPr>
                <w:sz w:val="20"/>
              </w:rPr>
              <w:t>Date</w:t>
            </w:r>
          </w:p>
        </w:tc>
        <w:tc>
          <w:tcPr>
            <w:tcW w:w="2394" w:type="dxa"/>
            <w:vAlign w:val="center"/>
          </w:tcPr>
          <w:p w:rsidR="00532E40" w:rsidRPr="00F456E9" w:rsidRDefault="00532E40" w:rsidP="00E45825">
            <w:pPr>
              <w:pStyle w:val="NoSpacing"/>
              <w:rPr>
                <w:sz w:val="20"/>
              </w:rPr>
            </w:pPr>
            <w:r w:rsidRPr="00F456E9">
              <w:rPr>
                <w:sz w:val="20"/>
              </w:rPr>
              <w:t>Agency</w:t>
            </w:r>
          </w:p>
        </w:tc>
      </w:tr>
      <w:tr w:rsidR="00532E40" w:rsidTr="00A96FB0">
        <w:trPr>
          <w:cnfStyle w:val="000000100000" w:firstRow="0" w:lastRow="0" w:firstColumn="0" w:lastColumn="0" w:oddVBand="0" w:evenVBand="0" w:oddHBand="1" w:evenHBand="0" w:firstRowFirstColumn="0" w:firstRowLastColumn="0" w:lastRowFirstColumn="0" w:lastRowLastColumn="0"/>
        </w:trPr>
        <w:tc>
          <w:tcPr>
            <w:tcW w:w="1620" w:type="dxa"/>
            <w:vAlign w:val="center"/>
          </w:tcPr>
          <w:p w:rsidR="00532E40" w:rsidRPr="00F456E9" w:rsidRDefault="00532E40" w:rsidP="003771C7">
            <w:pPr>
              <w:pStyle w:val="NoSpacing"/>
              <w:rPr>
                <w:sz w:val="20"/>
              </w:rPr>
            </w:pPr>
            <w:r w:rsidRPr="00F456E9">
              <w:rPr>
                <w:sz w:val="20"/>
              </w:rPr>
              <w:t>Consultation 4</w:t>
            </w:r>
          </w:p>
        </w:tc>
        <w:tc>
          <w:tcPr>
            <w:tcW w:w="4032" w:type="dxa"/>
            <w:vAlign w:val="center"/>
          </w:tcPr>
          <w:p w:rsidR="00532E40" w:rsidRPr="00F456E9" w:rsidRDefault="00532E40" w:rsidP="003771C7">
            <w:pPr>
              <w:pStyle w:val="NoSpacing"/>
              <w:rPr>
                <w:sz w:val="20"/>
              </w:rPr>
            </w:pPr>
            <w:r w:rsidRPr="00F456E9">
              <w:rPr>
                <w:sz w:val="20"/>
              </w:rPr>
              <w:t>Individually paced</w:t>
            </w:r>
          </w:p>
        </w:tc>
        <w:tc>
          <w:tcPr>
            <w:tcW w:w="1728" w:type="dxa"/>
            <w:vAlign w:val="center"/>
          </w:tcPr>
          <w:p w:rsidR="00532E40" w:rsidRPr="00F456E9" w:rsidRDefault="00A96FB0" w:rsidP="003771C7">
            <w:pPr>
              <w:pStyle w:val="NoSpacing"/>
              <w:rPr>
                <w:sz w:val="20"/>
              </w:rPr>
            </w:pPr>
            <w:r>
              <w:rPr>
                <w:sz w:val="20"/>
              </w:rPr>
              <w:t>Date</w:t>
            </w:r>
          </w:p>
        </w:tc>
        <w:tc>
          <w:tcPr>
            <w:tcW w:w="2394" w:type="dxa"/>
            <w:vAlign w:val="center"/>
          </w:tcPr>
          <w:p w:rsidR="00532E40" w:rsidRPr="00F456E9" w:rsidRDefault="00532E40" w:rsidP="003771C7">
            <w:pPr>
              <w:pStyle w:val="NoSpacing"/>
              <w:rPr>
                <w:sz w:val="20"/>
              </w:rPr>
            </w:pPr>
            <w:r w:rsidRPr="00F456E9">
              <w:rPr>
                <w:sz w:val="20"/>
              </w:rPr>
              <w:t>Agency</w:t>
            </w:r>
          </w:p>
        </w:tc>
      </w:tr>
      <w:tr w:rsidR="00532E40" w:rsidTr="00A96FB0">
        <w:tc>
          <w:tcPr>
            <w:tcW w:w="1620" w:type="dxa"/>
            <w:vAlign w:val="center"/>
          </w:tcPr>
          <w:p w:rsidR="00532E40" w:rsidRPr="00F456E9" w:rsidRDefault="00532E40" w:rsidP="00E45825">
            <w:pPr>
              <w:pStyle w:val="NoSpacing"/>
              <w:rPr>
                <w:sz w:val="20"/>
              </w:rPr>
            </w:pPr>
            <w:r w:rsidRPr="00F456E9">
              <w:rPr>
                <w:sz w:val="20"/>
              </w:rPr>
              <w:t>Session 4</w:t>
            </w:r>
          </w:p>
        </w:tc>
        <w:tc>
          <w:tcPr>
            <w:tcW w:w="4032" w:type="dxa"/>
            <w:vAlign w:val="center"/>
          </w:tcPr>
          <w:p w:rsidR="00532E40" w:rsidRPr="00F456E9" w:rsidRDefault="00532E40" w:rsidP="00E45825">
            <w:pPr>
              <w:pStyle w:val="NoSpacing"/>
              <w:rPr>
                <w:sz w:val="20"/>
              </w:rPr>
            </w:pPr>
            <w:r w:rsidRPr="00F456E9">
              <w:rPr>
                <w:sz w:val="20"/>
              </w:rPr>
              <w:t>What can you and should you do with the results?</w:t>
            </w:r>
          </w:p>
        </w:tc>
        <w:tc>
          <w:tcPr>
            <w:tcW w:w="1728" w:type="dxa"/>
            <w:vAlign w:val="center"/>
          </w:tcPr>
          <w:p w:rsidR="00A96FB0" w:rsidRDefault="00A96FB0" w:rsidP="00E45825">
            <w:pPr>
              <w:pStyle w:val="NoSpacing"/>
              <w:rPr>
                <w:sz w:val="20"/>
              </w:rPr>
            </w:pPr>
            <w:r>
              <w:rPr>
                <w:sz w:val="20"/>
              </w:rPr>
              <w:t>Date</w:t>
            </w:r>
          </w:p>
          <w:p w:rsidR="00D37A38" w:rsidRPr="00532E40" w:rsidRDefault="00A96FB0" w:rsidP="00E45825">
            <w:pPr>
              <w:pStyle w:val="NoSpacing"/>
              <w:rPr>
                <w:color w:val="FF0000"/>
                <w:sz w:val="20"/>
              </w:rPr>
            </w:pPr>
            <w:r>
              <w:rPr>
                <w:sz w:val="20"/>
              </w:rPr>
              <w:t>8:30am – 12:30pm</w:t>
            </w:r>
          </w:p>
        </w:tc>
        <w:tc>
          <w:tcPr>
            <w:tcW w:w="2394" w:type="dxa"/>
            <w:vAlign w:val="center"/>
          </w:tcPr>
          <w:p w:rsidR="00532E40" w:rsidRPr="00F456E9" w:rsidRDefault="00532E40" w:rsidP="00E45825">
            <w:pPr>
              <w:pStyle w:val="NoSpacing"/>
              <w:rPr>
                <w:sz w:val="20"/>
              </w:rPr>
            </w:pPr>
            <w:r w:rsidRPr="00F456E9">
              <w:rPr>
                <w:sz w:val="20"/>
              </w:rPr>
              <w:t>Forest Park Visitors Center</w:t>
            </w:r>
            <w:r w:rsidR="00E873E2">
              <w:rPr>
                <w:sz w:val="20"/>
              </w:rPr>
              <w:t>*</w:t>
            </w:r>
          </w:p>
        </w:tc>
      </w:tr>
      <w:tr w:rsidR="00532E40" w:rsidTr="00A96FB0">
        <w:trPr>
          <w:cnfStyle w:val="000000100000" w:firstRow="0" w:lastRow="0" w:firstColumn="0" w:lastColumn="0" w:oddVBand="0" w:evenVBand="0" w:oddHBand="1" w:evenHBand="0" w:firstRowFirstColumn="0" w:firstRowLastColumn="0" w:lastRowFirstColumn="0" w:lastRowLastColumn="0"/>
        </w:trPr>
        <w:tc>
          <w:tcPr>
            <w:tcW w:w="1620" w:type="dxa"/>
            <w:vAlign w:val="center"/>
          </w:tcPr>
          <w:p w:rsidR="00532E40" w:rsidRPr="00F456E9" w:rsidRDefault="00532E40" w:rsidP="00E45825">
            <w:pPr>
              <w:pStyle w:val="NoSpacing"/>
              <w:rPr>
                <w:sz w:val="20"/>
              </w:rPr>
            </w:pPr>
            <w:r>
              <w:rPr>
                <w:sz w:val="20"/>
              </w:rPr>
              <w:t>Consultation 5</w:t>
            </w:r>
          </w:p>
        </w:tc>
        <w:tc>
          <w:tcPr>
            <w:tcW w:w="4032" w:type="dxa"/>
            <w:vAlign w:val="center"/>
          </w:tcPr>
          <w:p w:rsidR="00532E40" w:rsidRPr="00F456E9" w:rsidRDefault="00532E40" w:rsidP="00E45825">
            <w:pPr>
              <w:pStyle w:val="NoSpacing"/>
              <w:rPr>
                <w:sz w:val="20"/>
              </w:rPr>
            </w:pPr>
            <w:r w:rsidRPr="00F456E9">
              <w:rPr>
                <w:sz w:val="20"/>
              </w:rPr>
              <w:t>Action planning</w:t>
            </w:r>
            <w:r w:rsidR="000F1C7A">
              <w:rPr>
                <w:sz w:val="20"/>
              </w:rPr>
              <w:t xml:space="preserve"> and post-assessment</w:t>
            </w:r>
          </w:p>
        </w:tc>
        <w:tc>
          <w:tcPr>
            <w:tcW w:w="1728" w:type="dxa"/>
            <w:vAlign w:val="center"/>
          </w:tcPr>
          <w:p w:rsidR="00532E40" w:rsidRPr="00F456E9" w:rsidRDefault="00A96FB0" w:rsidP="00E45825">
            <w:pPr>
              <w:pStyle w:val="NoSpacing"/>
              <w:rPr>
                <w:sz w:val="20"/>
              </w:rPr>
            </w:pPr>
            <w:r>
              <w:rPr>
                <w:sz w:val="20"/>
              </w:rPr>
              <w:t>Date</w:t>
            </w:r>
          </w:p>
        </w:tc>
        <w:tc>
          <w:tcPr>
            <w:tcW w:w="2394" w:type="dxa"/>
            <w:vAlign w:val="center"/>
          </w:tcPr>
          <w:p w:rsidR="00532E40" w:rsidRPr="00F456E9" w:rsidRDefault="00532E40" w:rsidP="00E45825">
            <w:pPr>
              <w:pStyle w:val="NoSpacing"/>
              <w:rPr>
                <w:sz w:val="20"/>
              </w:rPr>
            </w:pPr>
            <w:r w:rsidRPr="00F456E9">
              <w:rPr>
                <w:sz w:val="20"/>
              </w:rPr>
              <w:t>Agency</w:t>
            </w:r>
          </w:p>
        </w:tc>
      </w:tr>
    </w:tbl>
    <w:p w:rsidR="00957232" w:rsidRPr="009253AB" w:rsidRDefault="00E873E2" w:rsidP="00E873E2">
      <w:pPr>
        <w:pStyle w:val="NoSpacing"/>
        <w:rPr>
          <w:sz w:val="22"/>
        </w:rPr>
      </w:pPr>
      <w:r w:rsidRPr="009253AB">
        <w:rPr>
          <w:sz w:val="22"/>
        </w:rPr>
        <w:t>* Location tentative and will be confirmed in advance of Session 1.</w:t>
      </w:r>
    </w:p>
    <w:p w:rsidR="009253AB" w:rsidRDefault="009253AB" w:rsidP="00957232">
      <w:pPr>
        <w:pStyle w:val="NoSpacing"/>
        <w:rPr>
          <w:b/>
        </w:rPr>
      </w:pPr>
    </w:p>
    <w:p w:rsidR="00F456E9" w:rsidRPr="00F456E9" w:rsidRDefault="00F456E9" w:rsidP="00957232">
      <w:pPr>
        <w:pStyle w:val="NoSpacing"/>
        <w:rPr>
          <w:b/>
        </w:rPr>
      </w:pPr>
      <w:r w:rsidRPr="00F456E9">
        <w:rPr>
          <w:b/>
        </w:rPr>
        <w:t>Project Deliverables</w:t>
      </w:r>
    </w:p>
    <w:p w:rsidR="00F456E9" w:rsidRDefault="00F456E9" w:rsidP="00F456E9">
      <w:pPr>
        <w:pStyle w:val="NoSpacing"/>
        <w:numPr>
          <w:ilvl w:val="0"/>
          <w:numId w:val="4"/>
        </w:numPr>
      </w:pPr>
      <w:r>
        <w:t>A plan that includes performance management systems for one program, an</w:t>
      </w:r>
      <w:r w:rsidR="00532E40">
        <w:t>d an</w:t>
      </w:r>
      <w:r>
        <w:t xml:space="preserve"> action plan to develop a system for remaining programs</w:t>
      </w:r>
      <w:r w:rsidR="00532E40">
        <w:t>.</w:t>
      </w:r>
    </w:p>
    <w:p w:rsidR="00F456E9" w:rsidRDefault="00F456E9" w:rsidP="00F456E9">
      <w:pPr>
        <w:pStyle w:val="NoSpacing"/>
        <w:numPr>
          <w:ilvl w:val="0"/>
          <w:numId w:val="4"/>
        </w:numPr>
      </w:pPr>
      <w:r>
        <w:t xml:space="preserve">A culture of </w:t>
      </w:r>
      <w:r w:rsidR="00532E40">
        <w:t xml:space="preserve">performance management, including a commitment to high quality program </w:t>
      </w:r>
      <w:r>
        <w:t>planning</w:t>
      </w:r>
      <w:r w:rsidR="00532E40">
        <w:t xml:space="preserve">, implementation, </w:t>
      </w:r>
      <w:r w:rsidR="000F1C7A">
        <w:t xml:space="preserve">evaluation and </w:t>
      </w:r>
      <w:r>
        <w:t xml:space="preserve">quality </w:t>
      </w:r>
      <w:r w:rsidR="000F1C7A">
        <w:t>improvement</w:t>
      </w:r>
      <w:r w:rsidR="00532E40">
        <w:t xml:space="preserve">, </w:t>
      </w:r>
      <w:r>
        <w:t>led by a staff team.</w:t>
      </w:r>
    </w:p>
    <w:p w:rsidR="00F456E9" w:rsidRDefault="00F456E9" w:rsidP="00F456E9">
      <w:pPr>
        <w:pStyle w:val="NoSpacing"/>
      </w:pPr>
    </w:p>
    <w:p w:rsidR="00F456E9" w:rsidRPr="00F456E9" w:rsidRDefault="00F456E9" w:rsidP="00F456E9">
      <w:pPr>
        <w:pStyle w:val="NoSpacing"/>
        <w:rPr>
          <w:b/>
        </w:rPr>
      </w:pPr>
      <w:r w:rsidRPr="00F456E9">
        <w:rPr>
          <w:b/>
        </w:rPr>
        <w:t>Institute Cost</w:t>
      </w:r>
    </w:p>
    <w:p w:rsidR="00F456E9" w:rsidRDefault="00A96FB0" w:rsidP="00F456E9">
      <w:pPr>
        <w:pStyle w:val="NoSpacing"/>
      </w:pPr>
      <w:r>
        <w:t>The</w:t>
      </w:r>
      <w:r w:rsidR="00532E40">
        <w:t xml:space="preserve"> </w:t>
      </w:r>
      <w:r>
        <w:t xml:space="preserve">2017 </w:t>
      </w:r>
      <w:r w:rsidR="00532E40">
        <w:t>Institute</w:t>
      </w:r>
      <w:r w:rsidR="00F456E9">
        <w:t xml:space="preserve"> is offered at $10,000 per agency.  </w:t>
      </w:r>
    </w:p>
    <w:p w:rsidR="009253AB" w:rsidRDefault="009253AB" w:rsidP="00E45825">
      <w:pPr>
        <w:pStyle w:val="NoSpacing"/>
        <w:rPr>
          <w:b/>
        </w:rPr>
      </w:pPr>
    </w:p>
    <w:p w:rsidR="00E45825" w:rsidRPr="0071122A" w:rsidRDefault="00E45825" w:rsidP="00E45825">
      <w:pPr>
        <w:pStyle w:val="NoSpacing"/>
        <w:rPr>
          <w:rFonts w:ascii="Dotum" w:eastAsia="Dotum" w:hAnsi="Dotum"/>
          <w:b/>
          <w:color w:val="92D050"/>
        </w:rPr>
      </w:pPr>
      <w:bookmarkStart w:id="0" w:name="_GoBack"/>
      <w:bookmarkEnd w:id="0"/>
      <w:r w:rsidRPr="0071122A">
        <w:rPr>
          <w:rFonts w:ascii="Dotum" w:eastAsia="Dotum" w:hAnsi="Dotum"/>
          <w:b/>
          <w:color w:val="92D050"/>
        </w:rPr>
        <w:t>Comments from Prior Participants</w:t>
      </w:r>
    </w:p>
    <w:p w:rsidR="00E873E2" w:rsidRPr="0071122A" w:rsidRDefault="0071122A" w:rsidP="0071122A">
      <w:pPr>
        <w:pStyle w:val="NoSpacing"/>
        <w:pBdr>
          <w:top w:val="dotDotDash" w:sz="18" w:space="1" w:color="92D050"/>
          <w:left w:val="dotDotDash" w:sz="18" w:space="4" w:color="92D050"/>
          <w:bottom w:val="dotDotDash" w:sz="18" w:space="1" w:color="92D050"/>
          <w:right w:val="dotDotDash" w:sz="18" w:space="4" w:color="92D050"/>
        </w:pBdr>
        <w:shd w:val="clear" w:color="auto" w:fill="92D050"/>
        <w:spacing w:before="240"/>
        <w:rPr>
          <w:rFonts w:ascii="Dotum" w:eastAsia="Dotum" w:hAnsi="Dotum"/>
          <w:b/>
          <w:i/>
          <w:color w:val="FFFFFF" w:themeColor="background1"/>
          <w:sz w:val="18"/>
          <w:szCs w:val="18"/>
        </w:rPr>
      </w:pPr>
      <w:r w:rsidRPr="0071122A">
        <w:rPr>
          <w:rFonts w:ascii="Dotum" w:eastAsia="Dotum" w:hAnsi="Dotum"/>
          <w:b/>
          <w:i/>
          <w:color w:val="FFFFFF" w:themeColor="background1"/>
          <w:sz w:val="18"/>
          <w:szCs w:val="18"/>
        </w:rPr>
        <w:t>“</w:t>
      </w:r>
      <w:r w:rsidR="00E873E2" w:rsidRPr="0071122A">
        <w:rPr>
          <w:rFonts w:ascii="Dotum" w:eastAsia="Dotum" w:hAnsi="Dotum"/>
          <w:b/>
          <w:i/>
          <w:color w:val="FFFFFF" w:themeColor="background1"/>
          <w:sz w:val="18"/>
          <w:szCs w:val="18"/>
        </w:rPr>
        <w:t>The content was extremely relevant and well planned. It felt like it was at "the right level" for agencies that are in a variety of places with their performance management.</w:t>
      </w:r>
      <w:r w:rsidRPr="0071122A">
        <w:rPr>
          <w:rFonts w:ascii="Dotum" w:eastAsia="Dotum" w:hAnsi="Dotum"/>
          <w:b/>
          <w:i/>
          <w:color w:val="FFFFFF" w:themeColor="background1"/>
          <w:sz w:val="18"/>
          <w:szCs w:val="18"/>
        </w:rPr>
        <w:t>”</w:t>
      </w:r>
    </w:p>
    <w:p w:rsidR="00FC09FD" w:rsidRPr="0071122A" w:rsidRDefault="0071122A" w:rsidP="0071122A">
      <w:pPr>
        <w:pStyle w:val="NoSpacing"/>
        <w:pBdr>
          <w:top w:val="dotDotDash" w:sz="18" w:space="1" w:color="92D050"/>
          <w:left w:val="dotDotDash" w:sz="18" w:space="4" w:color="92D050"/>
          <w:bottom w:val="dotDotDash" w:sz="18" w:space="1" w:color="92D050"/>
          <w:right w:val="dotDotDash" w:sz="18" w:space="4" w:color="92D050"/>
        </w:pBdr>
        <w:shd w:val="clear" w:color="auto" w:fill="92D050"/>
        <w:spacing w:before="240"/>
        <w:rPr>
          <w:rFonts w:ascii="Dotum" w:eastAsia="Dotum" w:hAnsi="Dotum"/>
          <w:b/>
          <w:color w:val="FFFFFF" w:themeColor="background1"/>
          <w:sz w:val="18"/>
          <w:szCs w:val="18"/>
        </w:rPr>
      </w:pPr>
      <w:r w:rsidRPr="0071122A">
        <w:rPr>
          <w:rFonts w:ascii="Dotum" w:eastAsia="Dotum" w:hAnsi="Dotum"/>
          <w:b/>
          <w:color w:val="FFFFFF" w:themeColor="background1"/>
          <w:sz w:val="18"/>
          <w:szCs w:val="18"/>
        </w:rPr>
        <w:t>“</w:t>
      </w:r>
      <w:r w:rsidR="00E873E2" w:rsidRPr="0071122A">
        <w:rPr>
          <w:rFonts w:ascii="Dotum" w:eastAsia="Dotum" w:hAnsi="Dotum"/>
          <w:b/>
          <w:color w:val="FFFFFF" w:themeColor="background1"/>
          <w:sz w:val="18"/>
          <w:szCs w:val="18"/>
        </w:rPr>
        <w:t>Wha</w:t>
      </w:r>
      <w:r w:rsidR="009253AB" w:rsidRPr="0071122A">
        <w:rPr>
          <w:rFonts w:ascii="Dotum" w:eastAsia="Dotum" w:hAnsi="Dotum"/>
          <w:b/>
          <w:color w:val="FFFFFF" w:themeColor="background1"/>
          <w:sz w:val="18"/>
          <w:szCs w:val="18"/>
        </w:rPr>
        <w:t>t I loved most about the Institute</w:t>
      </w:r>
      <w:r w:rsidR="00E873E2" w:rsidRPr="0071122A">
        <w:rPr>
          <w:rFonts w:ascii="Dotum" w:eastAsia="Dotum" w:hAnsi="Dotum"/>
          <w:b/>
          <w:color w:val="FFFFFF" w:themeColor="background1"/>
          <w:sz w:val="18"/>
          <w:szCs w:val="18"/>
        </w:rPr>
        <w:t xml:space="preserve"> was the combination of one-on-one sessions between our agency and the EMD team paired with the group sessions where we could learn from and collaborate with other agencies.</w:t>
      </w:r>
      <w:r w:rsidRPr="0071122A">
        <w:rPr>
          <w:rFonts w:ascii="Dotum" w:eastAsia="Dotum" w:hAnsi="Dotum"/>
          <w:b/>
          <w:color w:val="FFFFFF" w:themeColor="background1"/>
          <w:sz w:val="18"/>
          <w:szCs w:val="18"/>
        </w:rPr>
        <w:t>”</w:t>
      </w:r>
    </w:p>
    <w:p w:rsidR="00FC09FD" w:rsidRPr="0071122A" w:rsidRDefault="0071122A" w:rsidP="0071122A">
      <w:pPr>
        <w:pStyle w:val="NoSpacing"/>
        <w:pBdr>
          <w:top w:val="dotDotDash" w:sz="18" w:space="1" w:color="92D050"/>
          <w:left w:val="dotDotDash" w:sz="18" w:space="4" w:color="92D050"/>
          <w:bottom w:val="dotDotDash" w:sz="18" w:space="1" w:color="92D050"/>
          <w:right w:val="dotDotDash" w:sz="18" w:space="4" w:color="92D050"/>
        </w:pBdr>
        <w:shd w:val="clear" w:color="auto" w:fill="92D050"/>
        <w:spacing w:before="240"/>
        <w:rPr>
          <w:rFonts w:ascii="Dotum" w:eastAsia="Dotum" w:hAnsi="Dotum"/>
          <w:b/>
          <w:color w:val="FFFFFF" w:themeColor="background1"/>
          <w:sz w:val="18"/>
          <w:szCs w:val="18"/>
        </w:rPr>
      </w:pPr>
      <w:r w:rsidRPr="0071122A">
        <w:rPr>
          <w:rFonts w:ascii="Dotum" w:eastAsia="Dotum" w:hAnsi="Dotum"/>
          <w:b/>
          <w:i/>
          <w:color w:val="FFFFFF" w:themeColor="background1"/>
          <w:sz w:val="18"/>
          <w:szCs w:val="18"/>
        </w:rPr>
        <w:t>“</w:t>
      </w:r>
      <w:r w:rsidR="00E873E2" w:rsidRPr="0071122A">
        <w:rPr>
          <w:rFonts w:ascii="Dotum" w:eastAsia="Dotum" w:hAnsi="Dotum"/>
          <w:b/>
          <w:i/>
          <w:color w:val="FFFFFF" w:themeColor="background1"/>
          <w:sz w:val="18"/>
          <w:szCs w:val="18"/>
        </w:rPr>
        <w:t>If your agency is ready to learn how to best measure its data, then absolutely consider the Institute</w:t>
      </w:r>
      <w:r w:rsidR="00E873E2" w:rsidRPr="0071122A">
        <w:rPr>
          <w:rFonts w:ascii="Dotum" w:eastAsia="Dotum" w:hAnsi="Dotum"/>
          <w:b/>
          <w:color w:val="FFFFFF" w:themeColor="background1"/>
          <w:sz w:val="18"/>
          <w:szCs w:val="18"/>
        </w:rPr>
        <w:t>.</w:t>
      </w:r>
      <w:r w:rsidRPr="0071122A">
        <w:rPr>
          <w:rFonts w:ascii="Dotum" w:eastAsia="Dotum" w:hAnsi="Dotum"/>
          <w:b/>
          <w:color w:val="FFFFFF" w:themeColor="background1"/>
          <w:sz w:val="18"/>
          <w:szCs w:val="18"/>
        </w:rPr>
        <w:t>”</w:t>
      </w:r>
    </w:p>
    <w:p w:rsidR="00E45825" w:rsidRPr="0071122A" w:rsidRDefault="0071122A" w:rsidP="0071122A">
      <w:pPr>
        <w:pStyle w:val="NoSpacing"/>
        <w:pBdr>
          <w:top w:val="dotDotDash" w:sz="18" w:space="1" w:color="92D050"/>
          <w:left w:val="dotDotDash" w:sz="18" w:space="4" w:color="92D050"/>
          <w:bottom w:val="dotDotDash" w:sz="18" w:space="1" w:color="92D050"/>
          <w:right w:val="dotDotDash" w:sz="18" w:space="4" w:color="92D050"/>
        </w:pBdr>
        <w:shd w:val="clear" w:color="auto" w:fill="92D050"/>
        <w:spacing w:before="240"/>
        <w:rPr>
          <w:rFonts w:ascii="Dotum" w:eastAsia="Dotum" w:hAnsi="Dotum"/>
          <w:b/>
          <w:color w:val="FFFFFF" w:themeColor="background1"/>
          <w:sz w:val="18"/>
          <w:szCs w:val="18"/>
        </w:rPr>
      </w:pPr>
      <w:r w:rsidRPr="0071122A">
        <w:rPr>
          <w:rFonts w:ascii="Dotum" w:eastAsia="Dotum" w:hAnsi="Dotum"/>
          <w:b/>
          <w:color w:val="FFFFFF" w:themeColor="background1"/>
          <w:sz w:val="18"/>
          <w:szCs w:val="18"/>
        </w:rPr>
        <w:t>“</w:t>
      </w:r>
      <w:r w:rsidR="00E873E2" w:rsidRPr="0071122A">
        <w:rPr>
          <w:rFonts w:ascii="Dotum" w:eastAsia="Dotum" w:hAnsi="Dotum"/>
          <w:b/>
          <w:color w:val="FFFFFF" w:themeColor="background1"/>
          <w:sz w:val="18"/>
          <w:szCs w:val="18"/>
        </w:rPr>
        <w:t xml:space="preserve">If you thought you knew about outcome measurement, you will leave </w:t>
      </w:r>
      <w:r w:rsidR="009253AB" w:rsidRPr="0071122A">
        <w:rPr>
          <w:rFonts w:ascii="Dotum" w:eastAsia="Dotum" w:hAnsi="Dotum"/>
          <w:b/>
          <w:color w:val="FFFFFF" w:themeColor="background1"/>
          <w:sz w:val="18"/>
          <w:szCs w:val="18"/>
        </w:rPr>
        <w:t xml:space="preserve">the Institute </w:t>
      </w:r>
      <w:r w:rsidR="00E873E2" w:rsidRPr="0071122A">
        <w:rPr>
          <w:rFonts w:ascii="Dotum" w:eastAsia="Dotum" w:hAnsi="Dotum"/>
          <w:b/>
          <w:color w:val="FFFFFF" w:themeColor="background1"/>
          <w:sz w:val="18"/>
          <w:szCs w:val="18"/>
        </w:rPr>
        <w:t>knowing more and being able to use it!!</w:t>
      </w:r>
      <w:r w:rsidRPr="0071122A">
        <w:rPr>
          <w:rFonts w:ascii="Dotum" w:eastAsia="Dotum" w:hAnsi="Dotum"/>
          <w:b/>
          <w:color w:val="FFFFFF" w:themeColor="background1"/>
          <w:sz w:val="18"/>
          <w:szCs w:val="18"/>
        </w:rPr>
        <w:t>”</w:t>
      </w:r>
    </w:p>
    <w:p w:rsidR="00E45825" w:rsidRDefault="00E45825" w:rsidP="00E45825">
      <w:pPr>
        <w:pStyle w:val="NoSpacing"/>
      </w:pPr>
    </w:p>
    <w:p w:rsidR="00E45825" w:rsidRPr="00E45825" w:rsidRDefault="00E45825" w:rsidP="00E45825">
      <w:pPr>
        <w:pStyle w:val="NoSpacing"/>
        <w:rPr>
          <w:sz w:val="22"/>
        </w:rPr>
      </w:pPr>
      <w:r w:rsidRPr="00FC09FD">
        <w:rPr>
          <w:b/>
        </w:rPr>
        <w:t xml:space="preserve">Lorien Carter </w:t>
      </w:r>
      <w:r w:rsidRPr="00E45825">
        <w:rPr>
          <w:sz w:val="22"/>
        </w:rPr>
        <w:t xml:space="preserve">joined EMD Consulting Group in 2015 as the co-designer and leader of </w:t>
      </w:r>
      <w:r w:rsidR="00FC09FD">
        <w:rPr>
          <w:sz w:val="22"/>
        </w:rPr>
        <w:t xml:space="preserve">EMD’s </w:t>
      </w:r>
      <w:r w:rsidRPr="00E45825">
        <w:rPr>
          <w:sz w:val="22"/>
        </w:rPr>
        <w:t>Measuring What Matters</w:t>
      </w:r>
      <w:r w:rsidR="00FC09FD">
        <w:rPr>
          <w:sz w:val="22"/>
        </w:rPr>
        <w:t xml:space="preserve"> performance management institute</w:t>
      </w:r>
      <w:r w:rsidRPr="00E45825">
        <w:rPr>
          <w:sz w:val="22"/>
        </w:rPr>
        <w:t>.</w:t>
      </w:r>
    </w:p>
    <w:p w:rsidR="00E45825" w:rsidRPr="00E45825" w:rsidRDefault="00E45825" w:rsidP="00E45825">
      <w:pPr>
        <w:pStyle w:val="NoSpacing"/>
        <w:rPr>
          <w:sz w:val="22"/>
        </w:rPr>
      </w:pPr>
    </w:p>
    <w:p w:rsidR="00E45825" w:rsidRPr="00E45825" w:rsidRDefault="00E45825" w:rsidP="00E45825">
      <w:pPr>
        <w:pStyle w:val="NoSpacing"/>
        <w:rPr>
          <w:sz w:val="22"/>
        </w:rPr>
      </w:pPr>
      <w:r w:rsidRPr="00E45825">
        <w:rPr>
          <w:sz w:val="22"/>
        </w:rPr>
        <w:t xml:space="preserve">Lorien is an </w:t>
      </w:r>
      <w:r w:rsidR="009253AB">
        <w:rPr>
          <w:sz w:val="22"/>
        </w:rPr>
        <w:t xml:space="preserve">Associate </w:t>
      </w:r>
      <w:r w:rsidRPr="00E45825">
        <w:rPr>
          <w:sz w:val="22"/>
        </w:rPr>
        <w:t xml:space="preserve">Professor of Practice at the Brown School of Social Work at Washington University in St. Louis. She teaches graduate level social work practice and administration courses, including a course on program development. She is the lead teacher for Social Work Practice with Individuals, Families and Groups and serves on the Curriculum Committee as the Chair of the MSW foundations curriculum. Lorien was awarded the “Excellence in Teaching” faculty award in 2011, 2010, 2008, and 2006. </w:t>
      </w:r>
    </w:p>
    <w:p w:rsidR="00E45825" w:rsidRPr="00E45825" w:rsidRDefault="00E45825" w:rsidP="00E45825">
      <w:pPr>
        <w:pStyle w:val="NoSpacing"/>
        <w:rPr>
          <w:sz w:val="22"/>
        </w:rPr>
      </w:pPr>
    </w:p>
    <w:p w:rsidR="00E45825" w:rsidRPr="00E45825" w:rsidRDefault="00E45825" w:rsidP="00E45825">
      <w:pPr>
        <w:pStyle w:val="NoSpacing"/>
        <w:rPr>
          <w:b/>
          <w:sz w:val="22"/>
          <w:szCs w:val="24"/>
        </w:rPr>
      </w:pPr>
      <w:r w:rsidRPr="00E45825">
        <w:rPr>
          <w:sz w:val="22"/>
        </w:rPr>
        <w:t>Lorie</w:t>
      </w:r>
      <w:r w:rsidR="000F1C7A">
        <w:rPr>
          <w:sz w:val="22"/>
        </w:rPr>
        <w:t>n co-created and co-led</w:t>
      </w:r>
      <w:r w:rsidRPr="00E45825">
        <w:rPr>
          <w:sz w:val="22"/>
        </w:rPr>
        <w:t xml:space="preserve"> a highly regarded Teaching Toolbox workshop series for faculty. She </w:t>
      </w:r>
      <w:r w:rsidR="000F1C7A">
        <w:rPr>
          <w:sz w:val="22"/>
        </w:rPr>
        <w:t xml:space="preserve">currently </w:t>
      </w:r>
      <w:r w:rsidRPr="00E45825">
        <w:rPr>
          <w:sz w:val="22"/>
        </w:rPr>
        <w:t xml:space="preserve">operates an instructional coaching initiative to enhance teaching excellence at the Brown School. She conducts </w:t>
      </w:r>
      <w:r w:rsidR="000F1C7A">
        <w:rPr>
          <w:sz w:val="22"/>
        </w:rPr>
        <w:t xml:space="preserve">community </w:t>
      </w:r>
      <w:r w:rsidRPr="00E45825">
        <w:rPr>
          <w:sz w:val="22"/>
        </w:rPr>
        <w:t>training</w:t>
      </w:r>
      <w:r w:rsidR="000F1C7A">
        <w:rPr>
          <w:sz w:val="22"/>
        </w:rPr>
        <w:t>s</w:t>
      </w:r>
      <w:r w:rsidRPr="00E45825">
        <w:rPr>
          <w:sz w:val="22"/>
        </w:rPr>
        <w:t xml:space="preserve"> on Evidence Based Practice, logic models, groupwork facilitation, professional teambuilding, and adolescent development. </w:t>
      </w:r>
      <w:r w:rsidR="00FC09FD">
        <w:rPr>
          <w:sz w:val="22"/>
        </w:rPr>
        <w:t xml:space="preserve"> </w:t>
      </w:r>
      <w:r w:rsidRPr="00E45825">
        <w:rPr>
          <w:sz w:val="22"/>
          <w:szCs w:val="24"/>
        </w:rPr>
        <w:t>Lorien’s experience includes direct social work practice with adolescents in public school and health care settings, and program management experience at the Teen Pregnancy Center at Barnes-Jewish Hospital.</w:t>
      </w:r>
    </w:p>
    <w:p w:rsidR="00E45825" w:rsidRPr="00E45825" w:rsidRDefault="00E45825" w:rsidP="00E45825">
      <w:pPr>
        <w:pStyle w:val="NoSpacing"/>
        <w:rPr>
          <w:b/>
          <w:sz w:val="22"/>
          <w:szCs w:val="24"/>
        </w:rPr>
      </w:pPr>
    </w:p>
    <w:p w:rsidR="00E45825" w:rsidRDefault="00A96FB0" w:rsidP="00E45825">
      <w:pPr>
        <w:pStyle w:val="NoSpacing"/>
        <w:rPr>
          <w:sz w:val="22"/>
          <w:szCs w:val="24"/>
        </w:rPr>
      </w:pPr>
      <w:r w:rsidRPr="00A96FB0">
        <w:rPr>
          <w:szCs w:val="24"/>
        </w:rPr>
        <w:t>EMD Consulting Group Partner</w:t>
      </w:r>
      <w:r w:rsidR="0071122A">
        <w:rPr>
          <w:b/>
          <w:szCs w:val="24"/>
        </w:rPr>
        <w:t xml:space="preserve"> </w:t>
      </w:r>
      <w:r w:rsidR="00E45825" w:rsidRPr="00FC09FD">
        <w:rPr>
          <w:b/>
          <w:szCs w:val="24"/>
        </w:rPr>
        <w:t>Kari McAvoy</w:t>
      </w:r>
      <w:r w:rsidR="00E45825" w:rsidRPr="00E45825">
        <w:rPr>
          <w:sz w:val="22"/>
          <w:szCs w:val="24"/>
        </w:rPr>
        <w:t xml:space="preserve"> will assist on the project.</w:t>
      </w:r>
    </w:p>
    <w:p w:rsidR="009253AB" w:rsidRPr="00E873E2" w:rsidRDefault="009253AB" w:rsidP="00E45825">
      <w:pPr>
        <w:pStyle w:val="NoSpacing"/>
        <w:rPr>
          <w:rFonts w:cs="Calibri"/>
          <w:sz w:val="22"/>
          <w:szCs w:val="24"/>
        </w:rPr>
      </w:pPr>
    </w:p>
    <w:p w:rsidR="00E45825" w:rsidRDefault="00E45825" w:rsidP="00E45825">
      <w:pPr>
        <w:pStyle w:val="NoSpacing"/>
        <w:rPr>
          <w:rFonts w:cs="Arial"/>
          <w:szCs w:val="24"/>
        </w:rPr>
      </w:pPr>
      <w:r>
        <w:rPr>
          <w:noProof/>
        </w:rPr>
        <w:drawing>
          <wp:anchor distT="0" distB="0" distL="114300" distR="114300" simplePos="0" relativeHeight="251662336" behindDoc="0" locked="0" layoutInCell="1" allowOverlap="1" wp14:anchorId="1A5221CB" wp14:editId="5BE72955">
            <wp:simplePos x="0" y="0"/>
            <wp:positionH relativeFrom="column">
              <wp:posOffset>0</wp:posOffset>
            </wp:positionH>
            <wp:positionV relativeFrom="paragraph">
              <wp:posOffset>1905</wp:posOffset>
            </wp:positionV>
            <wp:extent cx="1828800" cy="92265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D logo 3in.jpg"/>
                    <pic:cNvPicPr/>
                  </pic:nvPicPr>
                  <pic:blipFill>
                    <a:blip r:embed="rId7">
                      <a:extLst>
                        <a:ext uri="{28A0092B-C50C-407E-A947-70E740481C1C}">
                          <a14:useLocalDpi xmlns:a14="http://schemas.microsoft.com/office/drawing/2010/main" val="0"/>
                        </a:ext>
                      </a:extLst>
                    </a:blip>
                    <a:stretch>
                      <a:fillRect/>
                    </a:stretch>
                  </pic:blipFill>
                  <pic:spPr>
                    <a:xfrm>
                      <a:off x="0" y="0"/>
                      <a:ext cx="1828800" cy="922655"/>
                    </a:xfrm>
                    <a:prstGeom prst="rect">
                      <a:avLst/>
                    </a:prstGeom>
                  </pic:spPr>
                </pic:pic>
              </a:graphicData>
            </a:graphic>
            <wp14:sizeRelH relativeFrom="page">
              <wp14:pctWidth>0</wp14:pctWidth>
            </wp14:sizeRelH>
            <wp14:sizeRelV relativeFrom="page">
              <wp14:pctHeight>0</wp14:pctHeight>
            </wp14:sizeRelV>
          </wp:anchor>
        </w:drawing>
      </w:r>
    </w:p>
    <w:p w:rsidR="00E45825" w:rsidRDefault="00E45825" w:rsidP="00E45825">
      <w:pPr>
        <w:pStyle w:val="NoSpacing"/>
        <w:rPr>
          <w:rFonts w:cs="Arial"/>
          <w:szCs w:val="24"/>
        </w:rPr>
      </w:pPr>
    </w:p>
    <w:p w:rsidR="00E45825" w:rsidRPr="009253AB" w:rsidRDefault="00E45825" w:rsidP="00E45825">
      <w:pPr>
        <w:pStyle w:val="NoSpacing"/>
        <w:rPr>
          <w:rFonts w:cs="Arial"/>
          <w:sz w:val="22"/>
        </w:rPr>
      </w:pPr>
      <w:r w:rsidRPr="009253AB">
        <w:rPr>
          <w:rFonts w:cs="Arial"/>
          <w:sz w:val="22"/>
        </w:rPr>
        <w:t xml:space="preserve">Founded in 2002, EMD Consulting helps nonprofits build organizational strength.  EMD stands for </w:t>
      </w:r>
      <w:r w:rsidRPr="009253AB">
        <w:rPr>
          <w:rFonts w:cs="Arial"/>
          <w:sz w:val="22"/>
          <w:u w:val="single"/>
        </w:rPr>
        <w:t>E</w:t>
      </w:r>
      <w:r w:rsidRPr="009253AB">
        <w:rPr>
          <w:rFonts w:cs="Arial"/>
          <w:sz w:val="22"/>
        </w:rPr>
        <w:t xml:space="preserve">xperience </w:t>
      </w:r>
      <w:r w:rsidRPr="009253AB">
        <w:rPr>
          <w:rFonts w:cs="Arial"/>
          <w:sz w:val="22"/>
          <w:u w:val="single"/>
        </w:rPr>
        <w:t>M</w:t>
      </w:r>
      <w:r w:rsidRPr="009253AB">
        <w:rPr>
          <w:rFonts w:cs="Arial"/>
          <w:sz w:val="22"/>
        </w:rPr>
        <w:t xml:space="preserve">akes the </w:t>
      </w:r>
      <w:r w:rsidRPr="009253AB">
        <w:rPr>
          <w:rFonts w:cs="Arial"/>
          <w:sz w:val="22"/>
          <w:u w:val="single"/>
        </w:rPr>
        <w:t>D</w:t>
      </w:r>
      <w:r w:rsidRPr="009253AB">
        <w:rPr>
          <w:rFonts w:cs="Arial"/>
          <w:sz w:val="22"/>
        </w:rPr>
        <w:t xml:space="preserve">ifference.  </w:t>
      </w:r>
    </w:p>
    <w:p w:rsidR="00E45825" w:rsidRPr="009253AB" w:rsidRDefault="00E45825" w:rsidP="00E45825">
      <w:pPr>
        <w:pStyle w:val="NoSpacing"/>
        <w:rPr>
          <w:rFonts w:cs="Arial"/>
          <w:sz w:val="22"/>
        </w:rPr>
      </w:pPr>
    </w:p>
    <w:p w:rsidR="00E45825" w:rsidRPr="009253AB" w:rsidRDefault="00E45825" w:rsidP="00E45825">
      <w:pPr>
        <w:pStyle w:val="NoSpacing"/>
        <w:rPr>
          <w:rFonts w:cs="Arial"/>
          <w:sz w:val="22"/>
        </w:rPr>
      </w:pPr>
      <w:r w:rsidRPr="009253AB">
        <w:rPr>
          <w:rFonts w:cs="Arial"/>
          <w:sz w:val="22"/>
        </w:rPr>
        <w:t>EMD Consulting provides the following types of services: planning &amp; critical decision-making (strategic planning, merger facilitation), leadership (succession, governance, coaching), fundraising (capital campaigns, development plans, operations assessment), and program development (performance management, health care/social services integration).</w:t>
      </w:r>
    </w:p>
    <w:p w:rsidR="00E45825" w:rsidRPr="009253AB" w:rsidRDefault="00E45825" w:rsidP="00E45825">
      <w:pPr>
        <w:pStyle w:val="NoSpacing"/>
        <w:rPr>
          <w:rFonts w:cs="Arial"/>
          <w:sz w:val="22"/>
        </w:rPr>
      </w:pPr>
    </w:p>
    <w:p w:rsidR="00E45825" w:rsidRPr="009253AB" w:rsidRDefault="00E45825" w:rsidP="00E45825">
      <w:pPr>
        <w:pStyle w:val="NoSpacing"/>
        <w:rPr>
          <w:rFonts w:cs="Arial"/>
          <w:sz w:val="22"/>
        </w:rPr>
      </w:pPr>
      <w:r w:rsidRPr="009253AB">
        <w:rPr>
          <w:rFonts w:cs="Arial"/>
          <w:sz w:val="22"/>
        </w:rPr>
        <w:t>Our partners have experience working with nonprofits from every point of view – as staff leaders, board members, and funders.  We’ve tackled the tough issues of organizational development and change, financial and personnel management, all types of fundraising, strategic planning, marketing and communications, and board development.  We’ve created nonprofits and closed them, merged them, helped them grow, helped them change, and helped them recover from a crisis.  So, we’ve seen what works and what doesn’t, how great ideas need nurturing, and how opportunities and issues look different from different stakeholder sight lines.</w:t>
      </w:r>
    </w:p>
    <w:p w:rsidR="00E45825" w:rsidRPr="009253AB" w:rsidRDefault="00E45825" w:rsidP="00E45825">
      <w:pPr>
        <w:pStyle w:val="NoSpacing"/>
        <w:rPr>
          <w:rFonts w:cs="Arial"/>
          <w:sz w:val="22"/>
        </w:rPr>
      </w:pPr>
    </w:p>
    <w:p w:rsidR="00F456E9" w:rsidRPr="009253AB" w:rsidRDefault="00E45825" w:rsidP="00F456E9">
      <w:pPr>
        <w:pStyle w:val="NoSpacing"/>
        <w:rPr>
          <w:sz w:val="22"/>
        </w:rPr>
      </w:pPr>
      <w:r w:rsidRPr="009253AB">
        <w:rPr>
          <w:rFonts w:cs="Arial"/>
          <w:sz w:val="22"/>
        </w:rPr>
        <w:t>We are passionate about the value of nonprofit organizations, about how they touch and change lives, enliven our communities and protect our environment.  Our greatest professional satisfaction is helping nonprofit organizations grow, meet challenges, overcome obstacles, take calculated risks and find new opportunities to serve.  Our overriding professional goal is to deliver more to clients than they expect.</w:t>
      </w:r>
    </w:p>
    <w:sectPr w:rsidR="00F456E9" w:rsidRPr="009253AB" w:rsidSect="00FC09FD">
      <w:pgSz w:w="12240" w:h="15840"/>
      <w:pgMar w:top="1008"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ACC"/>
    <w:multiLevelType w:val="hybridMultilevel"/>
    <w:tmpl w:val="99943352"/>
    <w:lvl w:ilvl="0" w:tplc="59F68CE2">
      <w:start w:val="1"/>
      <w:numFmt w:val="bullet"/>
      <w:lvlText w:val="ᴏ"/>
      <w:lvlJc w:val="left"/>
      <w:pPr>
        <w:ind w:left="108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4F1C76"/>
    <w:multiLevelType w:val="hybridMultilevel"/>
    <w:tmpl w:val="D2104D00"/>
    <w:lvl w:ilvl="0" w:tplc="1A16206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F2C2101"/>
    <w:multiLevelType w:val="hybridMultilevel"/>
    <w:tmpl w:val="A23A2C48"/>
    <w:lvl w:ilvl="0" w:tplc="59F68CE2">
      <w:start w:val="1"/>
      <w:numFmt w:val="bullet"/>
      <w:lvlText w:val="ᴏ"/>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15744D"/>
    <w:multiLevelType w:val="hybridMultilevel"/>
    <w:tmpl w:val="AFD2A8BA"/>
    <w:lvl w:ilvl="0" w:tplc="AB72C2F4">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EA43BC"/>
    <w:multiLevelType w:val="hybridMultilevel"/>
    <w:tmpl w:val="13DAD1CC"/>
    <w:lvl w:ilvl="0" w:tplc="6C16208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232"/>
    <w:rsid w:val="000F1C7A"/>
    <w:rsid w:val="00217B37"/>
    <w:rsid w:val="00532E40"/>
    <w:rsid w:val="0071122A"/>
    <w:rsid w:val="009253AB"/>
    <w:rsid w:val="00957232"/>
    <w:rsid w:val="00A96FB0"/>
    <w:rsid w:val="00B34CD8"/>
    <w:rsid w:val="00D37A38"/>
    <w:rsid w:val="00E45825"/>
    <w:rsid w:val="00E873E2"/>
    <w:rsid w:val="00EB3143"/>
    <w:rsid w:val="00F456E9"/>
    <w:rsid w:val="00F63135"/>
    <w:rsid w:val="00FC0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232"/>
    <w:rPr>
      <w:rFonts w:ascii="Tahoma" w:hAnsi="Tahoma" w:cs="Tahoma"/>
      <w:sz w:val="16"/>
      <w:szCs w:val="16"/>
    </w:rPr>
  </w:style>
  <w:style w:type="paragraph" w:styleId="NoSpacing">
    <w:name w:val="No Spacing"/>
    <w:uiPriority w:val="1"/>
    <w:qFormat/>
    <w:rsid w:val="00957232"/>
    <w:pPr>
      <w:spacing w:after="0" w:line="240" w:lineRule="auto"/>
    </w:pPr>
  </w:style>
  <w:style w:type="table" w:styleId="TableGrid">
    <w:name w:val="Table Grid"/>
    <w:basedOn w:val="TableNormal"/>
    <w:uiPriority w:val="59"/>
    <w:rsid w:val="00957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232"/>
    <w:pPr>
      <w:ind w:left="720"/>
      <w:contextualSpacing/>
    </w:pPr>
  </w:style>
  <w:style w:type="table" w:styleId="LightList-Accent3">
    <w:name w:val="Light List Accent 3"/>
    <w:basedOn w:val="TableNormal"/>
    <w:uiPriority w:val="61"/>
    <w:rsid w:val="00F456E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Default">
    <w:name w:val="Default"/>
    <w:rsid w:val="00E45825"/>
    <w:pPr>
      <w:autoSpaceDE w:val="0"/>
      <w:autoSpaceDN w:val="0"/>
      <w:adjustRightInd w:val="0"/>
      <w:spacing w:after="0" w:line="240" w:lineRule="auto"/>
    </w:pPr>
    <w:rPr>
      <w:rFonts w:eastAsiaTheme="minorEastAsia" w:cs="Garamond"/>
      <w:color w:val="00000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232"/>
    <w:rPr>
      <w:rFonts w:ascii="Tahoma" w:hAnsi="Tahoma" w:cs="Tahoma"/>
      <w:sz w:val="16"/>
      <w:szCs w:val="16"/>
    </w:rPr>
  </w:style>
  <w:style w:type="paragraph" w:styleId="NoSpacing">
    <w:name w:val="No Spacing"/>
    <w:uiPriority w:val="1"/>
    <w:qFormat/>
    <w:rsid w:val="00957232"/>
    <w:pPr>
      <w:spacing w:after="0" w:line="240" w:lineRule="auto"/>
    </w:pPr>
  </w:style>
  <w:style w:type="table" w:styleId="TableGrid">
    <w:name w:val="Table Grid"/>
    <w:basedOn w:val="TableNormal"/>
    <w:uiPriority w:val="59"/>
    <w:rsid w:val="00957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232"/>
    <w:pPr>
      <w:ind w:left="720"/>
      <w:contextualSpacing/>
    </w:pPr>
  </w:style>
  <w:style w:type="table" w:styleId="LightList-Accent3">
    <w:name w:val="Light List Accent 3"/>
    <w:basedOn w:val="TableNormal"/>
    <w:uiPriority w:val="61"/>
    <w:rsid w:val="00F456E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Default">
    <w:name w:val="Default"/>
    <w:rsid w:val="00E45825"/>
    <w:pPr>
      <w:autoSpaceDE w:val="0"/>
      <w:autoSpaceDN w:val="0"/>
      <w:adjustRightInd w:val="0"/>
      <w:spacing w:after="0" w:line="240" w:lineRule="auto"/>
    </w:pPr>
    <w:rPr>
      <w:rFonts w:eastAsiaTheme="minorEastAsia" w:cs="Garamond"/>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 McAvoy</dc:creator>
  <cp:lastModifiedBy>Kari McAvoy</cp:lastModifiedBy>
  <cp:revision>5</cp:revision>
  <cp:lastPrinted>2016-06-24T13:10:00Z</cp:lastPrinted>
  <dcterms:created xsi:type="dcterms:W3CDTF">2016-05-05T15:34:00Z</dcterms:created>
  <dcterms:modified xsi:type="dcterms:W3CDTF">2017-01-10T19:34:00Z</dcterms:modified>
</cp:coreProperties>
</file>