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200"/>
      </w:pPr>
      <w:r>
        <w:rPr>
          <w:rFonts w:ascii="Arial" w:cs="Arial" w:eastAsia="Arial" w:hAnsi="Arial"/>
          <w:b/>
          <w:bCs/>
          <w:color w:val="0D1B2A"/>
          <w:sz w:val="44"/>
          <w:szCs w:val="44"/>
        </w:rPr>
        <w:t xml:space="preserve">Creative Design Brief</w:t>
      </w:r>
    </w:p>
    <w:p>
      <w:pPr>
        <w:spacing w:after="60" w:before="0"/>
      </w:pPr>
      <w:r>
        <w:rPr>
          <w:rFonts w:ascii="Arial" w:cs="Arial" w:eastAsia="Arial" w:hAnsi="Arial"/>
          <w:color w:val="2DD4BF"/>
          <w:sz w:val="28"/>
          <w:szCs w:val="28"/>
        </w:rPr>
        <w:t xml:space="preserve">Social Media Advertising Campaign</w:t>
      </w:r>
    </w:p>
    <w:p>
      <w:pPr>
        <w:spacing w:after="300" w:before="0"/>
      </w:pPr>
      <w:r>
        <w:rPr>
          <w:rFonts w:ascii="Arial" w:cs="Arial" w:eastAsia="Arial" w:hAnsi="Arial"/>
          <w:color w:val="555555"/>
          <w:sz w:val="22"/>
          <w:szCs w:val="22"/>
        </w:rPr>
        <w:t xml:space="preserve">AlphaIQ — AI-Powered Wealth Intelligence Platform</w:t>
      </w:r>
    </w:p>
    <w:p>
      <w:pPr>
        <w:pStyle w:val="Heading1"/>
        <w:pBdr>
          <w:bottom w:val="single" w:color="2DD4BF" w:sz="8" w:space="4"/>
        </w:pBdr>
        <w:spacing w:after="160" w:before="360"/>
      </w:pPr>
      <w:r>
        <w:rPr>
          <w:rFonts w:ascii="Arial" w:cs="Arial" w:eastAsia="Arial" w:hAnsi="Arial"/>
          <w:b/>
          <w:bCs/>
          <w:color w:val="0D1B2A"/>
          <w:sz w:val="28"/>
          <w:szCs w:val="28"/>
        </w:rPr>
        <w:t xml:space="preserve">1. About the Brand</w:t>
      </w:r>
    </w:p>
    <w:p>
      <w:pPr>
        <w:spacing w:after="80" w:before="60"/>
      </w:pPr>
      <w:r>
        <w:rPr>
          <w:rFonts w:ascii="Arial" w:cs="Arial" w:eastAsia="Arial" w:hAnsi="Arial"/>
          <w:color w:val="555555"/>
          <w:sz w:val="22"/>
          <w:szCs w:val="22"/>
        </w:rPr>
        <w:t xml:space="preserve">AlphaIQ is a premium AI-powered SaaS platform built for Australian self-directed investors — specifically SMSF trustees, property investors, and serious share portfolio managers. Think Bloomberg meets personal financial intelligence, designed for the sophisticated everyday investor who wants clarity, control, and conviction over their financial future.</w:t>
      </w:r>
    </w:p>
    <w:p>
      <w:pPr>
        <w:spacing w:after="80" w:before="80"/>
      </w:pPr>
      <w:r>
        <w:t xml:space="preserve"/>
      </w:r>
    </w:p>
    <w:p>
      <w:pPr>
        <w:spacing w:after="80" w:before="60"/>
      </w:pPr>
      <w:r>
        <w:rPr>
          <w:rFonts w:ascii="Arial" w:cs="Arial" w:eastAsia="Arial" w:hAnsi="Arial"/>
          <w:color w:val="555555"/>
          <w:sz w:val="22"/>
          <w:szCs w:val="22"/>
        </w:rPr>
        <w:t xml:space="preserve">The platform gives users the tools to model their financial future, understand exactly when they can retire, and track their journey to financial freedom — all backed by AI-curated intelligence from trusted sources, personalised to their specific portfolio and investment thesis.</w:t>
      </w:r>
    </w:p>
    <w:p>
      <w:pPr>
        <w:spacing w:after="80" w:before="80"/>
      </w:pPr>
      <w:r>
        <w:t xml:space="preserve"/>
      </w:r>
    </w:p>
    <w:p>
      <w:pPr>
        <w:spacing w:after="80" w:before="60"/>
      </w:pPr>
      <w:r>
        <w:rPr>
          <w:rFonts w:ascii="Arial" w:cs="Arial" w:eastAsia="Arial" w:hAnsi="Arial"/>
          <w:color w:val="555555"/>
          <w:sz w:val="22"/>
          <w:szCs w:val="22"/>
        </w:rPr>
        <w:t xml:space="preserve">Core palette: Deep Navy (#0D1B2A) and Teal (#2DD4BF). The visual language is dark, premium, and futuristic — credible and trustworthy, never hype-driven.</w:t>
      </w:r>
    </w:p>
    <w:p>
      <w:pPr>
        <w:pStyle w:val="Heading1"/>
        <w:pBdr>
          <w:bottom w:val="single" w:color="2DD4BF" w:sz="8" w:space="4"/>
        </w:pBdr>
        <w:spacing w:after="160" w:before="360"/>
      </w:pPr>
      <w:r>
        <w:rPr>
          <w:rFonts w:ascii="Arial" w:cs="Arial" w:eastAsia="Arial" w:hAnsi="Arial"/>
          <w:b/>
          <w:bCs/>
          <w:color w:val="0D1B2A"/>
          <w:sz w:val="28"/>
          <w:szCs w:val="28"/>
        </w:rPr>
        <w:t xml:space="preserve">2. Campaign Objective</w:t>
      </w:r>
    </w:p>
    <w:p>
      <w:pPr>
        <w:spacing w:after="80" w:before="60"/>
      </w:pPr>
      <w:r>
        <w:rPr>
          <w:rFonts w:ascii="Arial" w:cs="Arial" w:eastAsia="Arial" w:hAnsi="Arial"/>
          <w:color w:val="555555"/>
          <w:sz w:val="22"/>
          <w:szCs w:val="22"/>
        </w:rPr>
        <w:t xml:space="preserve">Drive awareness and trial sign-ups for AlphaIQ among Australian self-directed investors aged 40–65. Each creative should communicate one of three core value propositions clearly and compellingly, with a single strong visual and one headline. All ads must function as editable templates — copy will be A/B tested continuously.</w:t>
      </w:r>
    </w:p>
    <w:p>
      <w:pPr>
        <w:pStyle w:val="Heading1"/>
        <w:pBdr>
          <w:bottom w:val="single" w:color="2DD4BF" w:sz="8" w:space="4"/>
        </w:pBdr>
        <w:spacing w:after="160" w:before="360"/>
      </w:pPr>
      <w:r>
        <w:rPr>
          <w:rFonts w:ascii="Arial" w:cs="Arial" w:eastAsia="Arial" w:hAnsi="Arial"/>
          <w:b/>
          <w:bCs/>
          <w:color w:val="0D1B2A"/>
          <w:sz w:val="28"/>
          <w:szCs w:val="28"/>
        </w:rPr>
        <w:t xml:space="preserve">3. Target Audience</w:t>
      </w:r>
    </w:p>
    <w:p>
      <w:pPr>
        <w:pStyle w:val="ListParagraph"/>
        <w:numPr>
          <w:ilvl w:val="0"/>
          <w:numId w:val="2"/>
        </w:numPr>
        <w:spacing w:after="40" w:before="40"/>
      </w:pPr>
      <w:r>
        <w:rPr>
          <w:rFonts w:ascii="Arial" w:cs="Arial" w:eastAsia="Arial" w:hAnsi="Arial"/>
          <w:color w:val="555555"/>
          <w:sz w:val="22"/>
          <w:szCs w:val="22"/>
        </w:rPr>
        <w:t xml:space="preserve">Australians aged 40–65 managing their own superannuation (SMSF) or investment portfolio</w:t>
      </w:r>
    </w:p>
    <w:p>
      <w:pPr>
        <w:pStyle w:val="ListParagraph"/>
        <w:numPr>
          <w:ilvl w:val="0"/>
          <w:numId w:val="2"/>
        </w:numPr>
        <w:spacing w:after="40" w:before="40"/>
      </w:pPr>
      <w:r>
        <w:rPr>
          <w:rFonts w:ascii="Arial" w:cs="Arial" w:eastAsia="Arial" w:hAnsi="Arial"/>
          <w:color w:val="555555"/>
          <w:sz w:val="22"/>
          <w:szCs w:val="22"/>
        </w:rPr>
        <w:t xml:space="preserve">Property investors with one or more investment properties</w:t>
      </w:r>
    </w:p>
    <w:p>
      <w:pPr>
        <w:pStyle w:val="ListParagraph"/>
        <w:numPr>
          <w:ilvl w:val="0"/>
          <w:numId w:val="2"/>
        </w:numPr>
        <w:spacing w:after="40" w:before="40"/>
      </w:pPr>
      <w:r>
        <w:rPr>
          <w:rFonts w:ascii="Arial" w:cs="Arial" w:eastAsia="Arial" w:hAnsi="Arial"/>
          <w:color w:val="555555"/>
          <w:sz w:val="22"/>
          <w:szCs w:val="22"/>
        </w:rPr>
        <w:t xml:space="preserve">Self-directed share investors who actively research and manage their own holdings</w:t>
      </w:r>
    </w:p>
    <w:p>
      <w:pPr>
        <w:pStyle w:val="ListParagraph"/>
        <w:numPr>
          <w:ilvl w:val="0"/>
          <w:numId w:val="2"/>
        </w:numPr>
        <w:spacing w:after="40" w:before="40"/>
      </w:pPr>
      <w:r>
        <w:rPr>
          <w:rFonts w:ascii="Arial" w:cs="Arial" w:eastAsia="Arial" w:hAnsi="Arial"/>
          <w:color w:val="555555"/>
          <w:sz w:val="22"/>
          <w:szCs w:val="22"/>
        </w:rPr>
        <w:t xml:space="preserve">Sophisticated but not institutional — they value intelligence, control, and clarity</w:t>
      </w:r>
    </w:p>
    <w:p>
      <w:pPr>
        <w:pStyle w:val="ListParagraph"/>
        <w:numPr>
          <w:ilvl w:val="0"/>
          <w:numId w:val="2"/>
        </w:numPr>
        <w:spacing w:after="40" w:before="40"/>
      </w:pPr>
      <w:r>
        <w:rPr>
          <w:rFonts w:ascii="Arial" w:cs="Arial" w:eastAsia="Arial" w:hAnsi="Arial"/>
          <w:color w:val="555555"/>
          <w:sz w:val="22"/>
          <w:szCs w:val="22"/>
        </w:rPr>
        <w:t xml:space="preserve">Motivated by financial freedom, retirement planning, and making informed decisions with confidence</w:t>
      </w:r>
    </w:p>
    <w:p>
      <w:pPr>
        <w:pStyle w:val="Heading1"/>
        <w:pBdr>
          <w:bottom w:val="single" w:color="2DD4BF" w:sz="8" w:space="4"/>
        </w:pBdr>
        <w:spacing w:after="160" w:before="360"/>
      </w:pPr>
      <w:r>
        <w:rPr>
          <w:rFonts w:ascii="Arial" w:cs="Arial" w:eastAsia="Arial" w:hAnsi="Arial"/>
          <w:b/>
          <w:bCs/>
          <w:color w:val="0D1B2A"/>
          <w:sz w:val="28"/>
          <w:szCs w:val="28"/>
        </w:rPr>
        <w:t xml:space="preserve">4. Three Core Messaging Pillars</w:t>
      </w:r>
    </w:p>
    <w:p>
      <w:pPr>
        <w:spacing w:after="80" w:before="60"/>
      </w:pPr>
      <w:r>
        <w:rPr>
          <w:rFonts w:ascii="Arial" w:cs="Arial" w:eastAsia="Arial" w:hAnsi="Arial"/>
          <w:color w:val="555555"/>
          <w:sz w:val="22"/>
          <w:szCs w:val="22"/>
        </w:rPr>
        <w:t xml:space="preserve">Each ad creative should be built around one of the following pillars. Do not blend pillars — one message per creative.</w:t>
      </w:r>
    </w:p>
    <w:p>
      <w:pPr>
        <w:spacing w:after="80" w:before="80"/>
      </w:pPr>
      <w:r>
        <w:t xml:space="preserve"/>
      </w:r>
    </w:p>
    <w:p>
      <w:pPr>
        <w:pStyle w:val="Heading2"/>
        <w:spacing w:after="120" w:before="280"/>
      </w:pPr>
      <w:r>
        <w:rPr>
          <w:rFonts w:ascii="Arial" w:cs="Arial" w:eastAsia="Arial" w:hAnsi="Arial"/>
          <w:b/>
          <w:bCs/>
          <w:color w:val="2DD4BF"/>
          <w:sz w:val="24"/>
          <w:szCs w:val="24"/>
        </w:rPr>
        <w:t xml:space="preserve">Pillar 1 — Model Your Financial Future</w:t>
      </w:r>
    </w:p>
    <w:p>
      <w:pPr>
        <w:spacing w:after="80" w:before="60"/>
      </w:pPr>
      <w:r>
        <w:rPr>
          <w:rFonts w:ascii="Arial" w:cs="Arial" w:eastAsia="Arial" w:hAnsi="Arial"/>
          <w:color w:val="555555"/>
          <w:sz w:val="22"/>
          <w:szCs w:val="22"/>
        </w:rPr>
        <w:t xml:space="preserve">The core promise: AlphaIQ lets users model their retirement date with precision, then track their progress toward it. This is about replacing guesswork with clarity.</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7160"/>
      </w:tblGrid>
      <w:tr>
        <w:tc>
          <w:tcPr>
            <w:tcW w:type="dxa" w:w="2200"/>
            <w:tcBorders>
              <w:top w:val="single" w:color="CCCCCC" w:sz="1"/>
              <w:left w:val="single" w:color="CCCCCC" w:sz="1"/>
              <w:bottom w:val="single" w:color="CCCCCC" w:sz="1"/>
              <w:right w:val="single" w:color="CCCCCC" w:sz="1"/>
            </w:tcBorders>
            <w:shd w:fill="0D1B2A" w:val="clear"/>
            <w:tcMar>
              <w:top w:type="dxa" w:w="100"/>
              <w:left w:type="dxa" w:w="140"/>
              <w:bottom w:type="dxa" w:w="100"/>
              <w:right w:type="dxa" w:w="140"/>
            </w:tcMar>
            <w:vAlign w:val="center"/>
          </w:tcPr>
          <w:p>
            <w:pPr>
              <w:jc w:val="center"/>
            </w:pPr>
            <w:r>
              <w:rPr>
                <w:rFonts w:ascii="Arial" w:cs="Arial" w:eastAsia="Arial" w:hAnsi="Arial"/>
                <w:b/>
                <w:bCs/>
                <w:color w:val="FFFFFF"/>
                <w:sz w:val="20"/>
                <w:szCs w:val="20"/>
              </w:rPr>
              <w:t xml:space="preserve">Hero</w:t>
            </w:r>
          </w:p>
        </w:tc>
        <w:tc>
          <w:tcPr>
            <w:tcW w:type="dxa" w:w="7160"/>
            <w:tcBorders>
              <w:top w:val="single" w:color="CCCCCC" w:sz="1"/>
              <w:left w:val="single" w:color="CCCCCC" w:sz="1"/>
              <w:bottom w:val="single" w:color="CCCCCC" w:sz="1"/>
              <w:right w:val="single" w:color="CCCCCC" w:sz="1"/>
            </w:tcBorders>
            <w:shd w:fill="F0FAFA" w:val="clear"/>
            <w:tcMar>
              <w:top w:type="dxa" w:w="100"/>
              <w:left w:type="dxa" w:w="140"/>
              <w:bottom w:type="dxa" w:w="100"/>
              <w:right w:type="dxa" w:w="140"/>
            </w:tcMar>
          </w:tcPr>
          <w:p>
            <w:r>
              <w:rPr>
                <w:rFonts w:ascii="Arial" w:cs="Arial" w:eastAsia="Arial" w:hAnsi="Arial"/>
                <w:i/>
                <w:iCs/>
                <w:color w:val="555555"/>
                <w:sz w:val="21"/>
                <w:szCs w:val="21"/>
              </w:rPr>
              <w:t xml:space="preserve">See exactly when you can retire. Then build the path to get there.</w:t>
            </w:r>
          </w:p>
        </w:tc>
      </w:tr>
      <w:tr>
        <w:tc>
          <w:tcPr>
            <w:tcW w:type="dxa" w:w="2200"/>
            <w:tcBorders>
              <w:top w:val="single" w:color="CCCCCC" w:sz="1"/>
              <w:left w:val="single" w:color="CCCCCC" w:sz="1"/>
              <w:bottom w:val="single" w:color="CCCCCC" w:sz="1"/>
              <w:right w:val="single" w:color="CCCCCC" w:sz="1"/>
            </w:tcBorders>
            <w:shd w:fill="0D1B2A" w:val="clear"/>
            <w:tcMar>
              <w:top w:type="dxa" w:w="100"/>
              <w:left w:type="dxa" w:w="140"/>
              <w:bottom w:type="dxa" w:w="100"/>
              <w:right w:type="dxa" w:w="140"/>
            </w:tcMar>
            <w:vAlign w:val="center"/>
          </w:tcPr>
          <w:p>
            <w:pPr>
              <w:jc w:val="center"/>
            </w:pPr>
            <w:r>
              <w:rPr>
                <w:rFonts w:ascii="Arial" w:cs="Arial" w:eastAsia="Arial" w:hAnsi="Arial"/>
                <w:b/>
                <w:bCs/>
                <w:color w:val="FFFFFF"/>
                <w:sz w:val="20"/>
                <w:szCs w:val="20"/>
              </w:rPr>
              <w:t xml:space="preserve">Alt A</w:t>
            </w:r>
          </w:p>
        </w:tc>
        <w:tc>
          <w:tcPr>
            <w:tcW w:type="dxa" w:w="7160"/>
            <w:tcBorders>
              <w:top w:val="single" w:color="CCCCCC" w:sz="1"/>
              <w:left w:val="single" w:color="CCCCCC" w:sz="1"/>
              <w:bottom w:val="single" w:color="CCCCCC" w:sz="1"/>
              <w:right w:val="single" w:color="CCCCCC" w:sz="1"/>
            </w:tcBorders>
            <w:shd w:fill="F0FAFA" w:val="clear"/>
            <w:tcMar>
              <w:top w:type="dxa" w:w="100"/>
              <w:left w:type="dxa" w:w="140"/>
              <w:bottom w:type="dxa" w:w="100"/>
              <w:right w:type="dxa" w:w="140"/>
            </w:tcMar>
          </w:tcPr>
          <w:p>
            <w:r>
              <w:rPr>
                <w:rFonts w:ascii="Arial" w:cs="Arial" w:eastAsia="Arial" w:hAnsi="Arial"/>
                <w:i/>
                <w:iCs/>
                <w:color w:val="555555"/>
                <w:sz w:val="21"/>
                <w:szCs w:val="21"/>
              </w:rPr>
              <w:t xml:space="preserve">Your retirement date isn’t a guess. Model it, track it, own it.</w:t>
            </w:r>
          </w:p>
        </w:tc>
      </w:tr>
      <w:tr>
        <w:tc>
          <w:tcPr>
            <w:tcW w:type="dxa" w:w="2200"/>
            <w:tcBorders>
              <w:top w:val="single" w:color="CCCCCC" w:sz="1"/>
              <w:left w:val="single" w:color="CCCCCC" w:sz="1"/>
              <w:bottom w:val="single" w:color="CCCCCC" w:sz="1"/>
              <w:right w:val="single" w:color="CCCCCC" w:sz="1"/>
            </w:tcBorders>
            <w:shd w:fill="0D1B2A" w:val="clear"/>
            <w:tcMar>
              <w:top w:type="dxa" w:w="100"/>
              <w:left w:type="dxa" w:w="140"/>
              <w:bottom w:type="dxa" w:w="100"/>
              <w:right w:type="dxa" w:w="140"/>
            </w:tcMar>
            <w:vAlign w:val="center"/>
          </w:tcPr>
          <w:p>
            <w:pPr>
              <w:jc w:val="center"/>
            </w:pPr>
            <w:r>
              <w:rPr>
                <w:rFonts w:ascii="Arial" w:cs="Arial" w:eastAsia="Arial" w:hAnsi="Arial"/>
                <w:b/>
                <w:bCs/>
                <w:color w:val="FFFFFF"/>
                <w:sz w:val="20"/>
                <w:szCs w:val="20"/>
              </w:rPr>
              <w:t xml:space="preserve">Alt B</w:t>
            </w:r>
          </w:p>
        </w:tc>
        <w:tc>
          <w:tcPr>
            <w:tcW w:type="dxa" w:w="7160"/>
            <w:tcBorders>
              <w:top w:val="single" w:color="CCCCCC" w:sz="1"/>
              <w:left w:val="single" w:color="CCCCCC" w:sz="1"/>
              <w:bottom w:val="single" w:color="CCCCCC" w:sz="1"/>
              <w:right w:val="single" w:color="CCCCCC" w:sz="1"/>
            </w:tcBorders>
            <w:shd w:fill="F0FAFA" w:val="clear"/>
            <w:tcMar>
              <w:top w:type="dxa" w:w="100"/>
              <w:left w:type="dxa" w:w="140"/>
              <w:bottom w:type="dxa" w:w="100"/>
              <w:right w:type="dxa" w:w="140"/>
            </w:tcMar>
          </w:tcPr>
          <w:p>
            <w:r>
              <w:rPr>
                <w:rFonts w:ascii="Arial" w:cs="Arial" w:eastAsia="Arial" w:hAnsi="Arial"/>
                <w:i/>
                <w:iCs/>
                <w:color w:val="555555"/>
                <w:sz w:val="21"/>
                <w:szCs w:val="21"/>
              </w:rPr>
              <w:t xml:space="preserve">Know your number. Know your date. Know your path.</w:t>
            </w:r>
          </w:p>
        </w:tc>
      </w:tr>
      <w:tr>
        <w:tc>
          <w:tcPr>
            <w:tcW w:type="dxa" w:w="2200"/>
            <w:tcBorders>
              <w:top w:val="single" w:color="CCCCCC" w:sz="1"/>
              <w:left w:val="single" w:color="CCCCCC" w:sz="1"/>
              <w:bottom w:val="single" w:color="CCCCCC" w:sz="1"/>
              <w:right w:val="single" w:color="CCCCCC" w:sz="1"/>
            </w:tcBorders>
            <w:shd w:fill="0D1B2A" w:val="clear"/>
            <w:tcMar>
              <w:top w:type="dxa" w:w="100"/>
              <w:left w:type="dxa" w:w="140"/>
              <w:bottom w:type="dxa" w:w="100"/>
              <w:right w:type="dxa" w:w="140"/>
            </w:tcMar>
            <w:vAlign w:val="center"/>
          </w:tcPr>
          <w:p>
            <w:pPr>
              <w:jc w:val="center"/>
            </w:pPr>
            <w:r>
              <w:rPr>
                <w:rFonts w:ascii="Arial" w:cs="Arial" w:eastAsia="Arial" w:hAnsi="Arial"/>
                <w:b/>
                <w:bCs/>
                <w:color w:val="FFFFFF"/>
                <w:sz w:val="20"/>
                <w:szCs w:val="20"/>
              </w:rPr>
              <w:t xml:space="preserve">Alt C</w:t>
            </w:r>
          </w:p>
        </w:tc>
        <w:tc>
          <w:tcPr>
            <w:tcW w:type="dxa" w:w="7160"/>
            <w:tcBorders>
              <w:top w:val="single" w:color="CCCCCC" w:sz="1"/>
              <w:left w:val="single" w:color="CCCCCC" w:sz="1"/>
              <w:bottom w:val="single" w:color="CCCCCC" w:sz="1"/>
              <w:right w:val="single" w:color="CCCCCC" w:sz="1"/>
            </w:tcBorders>
            <w:shd w:fill="F0FAFA" w:val="clear"/>
            <w:tcMar>
              <w:top w:type="dxa" w:w="100"/>
              <w:left w:type="dxa" w:w="140"/>
              <w:bottom w:type="dxa" w:w="100"/>
              <w:right w:type="dxa" w:w="140"/>
            </w:tcMar>
          </w:tcPr>
          <w:p>
            <w:r>
              <w:rPr>
                <w:rFonts w:ascii="Arial" w:cs="Arial" w:eastAsia="Arial" w:hAnsi="Arial"/>
                <w:i/>
                <w:iCs/>
                <w:color w:val="555555"/>
                <w:sz w:val="21"/>
                <w:szCs w:val="21"/>
              </w:rPr>
              <w:t xml:space="preserve">From where you are to financial freedom — mapped, modelled, and monitored.</w:t>
            </w:r>
          </w:p>
        </w:tc>
      </w:tr>
    </w:tbl>
    <w:p>
      <w:pPr>
        <w:spacing w:after="80" w:before="80"/>
      </w:pPr>
      <w:r>
        <w:t xml:space="preserve"/>
      </w:r>
    </w:p>
    <w:p>
      <w:pPr>
        <w:pStyle w:val="Heading2"/>
        <w:spacing w:after="120" w:before="280"/>
      </w:pPr>
      <w:r>
        <w:rPr>
          <w:rFonts w:ascii="Arial" w:cs="Arial" w:eastAsia="Arial" w:hAnsi="Arial"/>
          <w:b/>
          <w:bCs/>
          <w:color w:val="2DD4BF"/>
          <w:sz w:val="24"/>
          <w:szCs w:val="24"/>
        </w:rPr>
        <w:t xml:space="preserve">Pillar 2 — Intelligence Built Around You</w:t>
      </w:r>
    </w:p>
    <w:p>
      <w:pPr>
        <w:spacing w:after="80" w:before="60"/>
      </w:pPr>
      <w:r>
        <w:rPr>
          <w:rFonts w:ascii="Arial" w:cs="Arial" w:eastAsia="Arial" w:hAnsi="Arial"/>
          <w:color w:val="555555"/>
          <w:sz w:val="22"/>
          <w:szCs w:val="22"/>
        </w:rPr>
        <w:t xml:space="preserve">AlphaIQ surfaces trusted investment intelligence filtered specifically for the stocks and assets a user holds — not generic market noise for the crowd.</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7160"/>
      </w:tblGrid>
      <w:tr>
        <w:tc>
          <w:tcPr>
            <w:tcW w:type="dxa" w:w="2200"/>
            <w:tcBorders>
              <w:top w:val="single" w:color="CCCCCC" w:sz="1"/>
              <w:left w:val="single" w:color="CCCCCC" w:sz="1"/>
              <w:bottom w:val="single" w:color="CCCCCC" w:sz="1"/>
              <w:right w:val="single" w:color="CCCCCC" w:sz="1"/>
            </w:tcBorders>
            <w:shd w:fill="0D1B2A" w:val="clear"/>
            <w:tcMar>
              <w:top w:type="dxa" w:w="100"/>
              <w:left w:type="dxa" w:w="140"/>
              <w:bottom w:type="dxa" w:w="100"/>
              <w:right w:type="dxa" w:w="140"/>
            </w:tcMar>
            <w:vAlign w:val="center"/>
          </w:tcPr>
          <w:p>
            <w:pPr>
              <w:jc w:val="center"/>
            </w:pPr>
            <w:r>
              <w:rPr>
                <w:rFonts w:ascii="Arial" w:cs="Arial" w:eastAsia="Arial" w:hAnsi="Arial"/>
                <w:b/>
                <w:bCs/>
                <w:color w:val="FFFFFF"/>
                <w:sz w:val="20"/>
                <w:szCs w:val="20"/>
              </w:rPr>
              <w:t xml:space="preserve">Hero</w:t>
            </w:r>
          </w:p>
        </w:tc>
        <w:tc>
          <w:tcPr>
            <w:tcW w:type="dxa" w:w="7160"/>
            <w:tcBorders>
              <w:top w:val="single" w:color="CCCCCC" w:sz="1"/>
              <w:left w:val="single" w:color="CCCCCC" w:sz="1"/>
              <w:bottom w:val="single" w:color="CCCCCC" w:sz="1"/>
              <w:right w:val="single" w:color="CCCCCC" w:sz="1"/>
            </w:tcBorders>
            <w:shd w:fill="F0FAFA" w:val="clear"/>
            <w:tcMar>
              <w:top w:type="dxa" w:w="100"/>
              <w:left w:type="dxa" w:w="140"/>
              <w:bottom w:type="dxa" w:w="100"/>
              <w:right w:type="dxa" w:w="140"/>
            </w:tcMar>
          </w:tcPr>
          <w:p>
            <w:r>
              <w:rPr>
                <w:rFonts w:ascii="Arial" w:cs="Arial" w:eastAsia="Arial" w:hAnsi="Arial"/>
                <w:i/>
                <w:iCs/>
                <w:color w:val="555555"/>
                <w:sz w:val="21"/>
                <w:szCs w:val="21"/>
              </w:rPr>
              <w:t xml:space="preserve">Trusted investment intelligence filtered for your portfolio. Not the crowd’s.</w:t>
            </w:r>
          </w:p>
        </w:tc>
      </w:tr>
      <w:tr>
        <w:tc>
          <w:tcPr>
            <w:tcW w:type="dxa" w:w="2200"/>
            <w:tcBorders>
              <w:top w:val="single" w:color="CCCCCC" w:sz="1"/>
              <w:left w:val="single" w:color="CCCCCC" w:sz="1"/>
              <w:bottom w:val="single" w:color="CCCCCC" w:sz="1"/>
              <w:right w:val="single" w:color="CCCCCC" w:sz="1"/>
            </w:tcBorders>
            <w:shd w:fill="0D1B2A" w:val="clear"/>
            <w:tcMar>
              <w:top w:type="dxa" w:w="100"/>
              <w:left w:type="dxa" w:w="140"/>
              <w:bottom w:type="dxa" w:w="100"/>
              <w:right w:type="dxa" w:w="140"/>
            </w:tcMar>
            <w:vAlign w:val="center"/>
          </w:tcPr>
          <w:p>
            <w:pPr>
              <w:jc w:val="center"/>
            </w:pPr>
            <w:r>
              <w:rPr>
                <w:rFonts w:ascii="Arial" w:cs="Arial" w:eastAsia="Arial" w:hAnsi="Arial"/>
                <w:b/>
                <w:bCs/>
                <w:color w:val="FFFFFF"/>
                <w:sz w:val="20"/>
                <w:szCs w:val="20"/>
              </w:rPr>
              <w:t xml:space="preserve">Alt A</w:t>
            </w:r>
          </w:p>
        </w:tc>
        <w:tc>
          <w:tcPr>
            <w:tcW w:type="dxa" w:w="7160"/>
            <w:tcBorders>
              <w:top w:val="single" w:color="CCCCCC" w:sz="1"/>
              <w:left w:val="single" w:color="CCCCCC" w:sz="1"/>
              <w:bottom w:val="single" w:color="CCCCCC" w:sz="1"/>
              <w:right w:val="single" w:color="CCCCCC" w:sz="1"/>
            </w:tcBorders>
            <w:shd w:fill="F0FAFA" w:val="clear"/>
            <w:tcMar>
              <w:top w:type="dxa" w:w="100"/>
              <w:left w:type="dxa" w:w="140"/>
              <w:bottom w:type="dxa" w:w="100"/>
              <w:right w:type="dxa" w:w="140"/>
            </w:tcMar>
          </w:tcPr>
          <w:p>
            <w:r>
              <w:rPr>
                <w:rFonts w:ascii="Arial" w:cs="Arial" w:eastAsia="Arial" w:hAnsi="Arial"/>
                <w:i/>
                <w:iCs/>
                <w:color w:val="555555"/>
                <w:sz w:val="21"/>
                <w:szCs w:val="21"/>
              </w:rPr>
              <w:t xml:space="preserve">The signal in the noise — curated for the stocks and assets you actually hold.</w:t>
            </w:r>
          </w:p>
        </w:tc>
      </w:tr>
      <w:tr>
        <w:tc>
          <w:tcPr>
            <w:tcW w:type="dxa" w:w="2200"/>
            <w:tcBorders>
              <w:top w:val="single" w:color="CCCCCC" w:sz="1"/>
              <w:left w:val="single" w:color="CCCCCC" w:sz="1"/>
              <w:bottom w:val="single" w:color="CCCCCC" w:sz="1"/>
              <w:right w:val="single" w:color="CCCCCC" w:sz="1"/>
            </w:tcBorders>
            <w:shd w:fill="0D1B2A" w:val="clear"/>
            <w:tcMar>
              <w:top w:type="dxa" w:w="100"/>
              <w:left w:type="dxa" w:w="140"/>
              <w:bottom w:type="dxa" w:w="100"/>
              <w:right w:type="dxa" w:w="140"/>
            </w:tcMar>
            <w:vAlign w:val="center"/>
          </w:tcPr>
          <w:p>
            <w:pPr>
              <w:jc w:val="center"/>
            </w:pPr>
            <w:r>
              <w:rPr>
                <w:rFonts w:ascii="Arial" w:cs="Arial" w:eastAsia="Arial" w:hAnsi="Arial"/>
                <w:b/>
                <w:bCs/>
                <w:color w:val="FFFFFF"/>
                <w:sz w:val="20"/>
                <w:szCs w:val="20"/>
              </w:rPr>
              <w:t xml:space="preserve">Alt B</w:t>
            </w:r>
          </w:p>
        </w:tc>
        <w:tc>
          <w:tcPr>
            <w:tcW w:type="dxa" w:w="7160"/>
            <w:tcBorders>
              <w:top w:val="single" w:color="CCCCCC" w:sz="1"/>
              <w:left w:val="single" w:color="CCCCCC" w:sz="1"/>
              <w:bottom w:val="single" w:color="CCCCCC" w:sz="1"/>
              <w:right w:val="single" w:color="CCCCCC" w:sz="1"/>
            </w:tcBorders>
            <w:shd w:fill="F0FAFA" w:val="clear"/>
            <w:tcMar>
              <w:top w:type="dxa" w:w="100"/>
              <w:left w:type="dxa" w:w="140"/>
              <w:bottom w:type="dxa" w:w="100"/>
              <w:right w:type="dxa" w:w="140"/>
            </w:tcMar>
          </w:tcPr>
          <w:p>
            <w:r>
              <w:rPr>
                <w:rFonts w:ascii="Arial" w:cs="Arial" w:eastAsia="Arial" w:hAnsi="Arial"/>
                <w:i/>
                <w:iCs/>
                <w:color w:val="555555"/>
                <w:sz w:val="21"/>
                <w:szCs w:val="21"/>
              </w:rPr>
              <w:t xml:space="preserve">Stop reading what everyone else reads. Get intelligence that’s relevant to you.</w:t>
            </w:r>
          </w:p>
        </w:tc>
      </w:tr>
      <w:tr>
        <w:tc>
          <w:tcPr>
            <w:tcW w:type="dxa" w:w="2200"/>
            <w:tcBorders>
              <w:top w:val="single" w:color="CCCCCC" w:sz="1"/>
              <w:left w:val="single" w:color="CCCCCC" w:sz="1"/>
              <w:bottom w:val="single" w:color="CCCCCC" w:sz="1"/>
              <w:right w:val="single" w:color="CCCCCC" w:sz="1"/>
            </w:tcBorders>
            <w:shd w:fill="0D1B2A" w:val="clear"/>
            <w:tcMar>
              <w:top w:type="dxa" w:w="100"/>
              <w:left w:type="dxa" w:w="140"/>
              <w:bottom w:type="dxa" w:w="100"/>
              <w:right w:type="dxa" w:w="140"/>
            </w:tcMar>
            <w:vAlign w:val="center"/>
          </w:tcPr>
          <w:p>
            <w:pPr>
              <w:jc w:val="center"/>
            </w:pPr>
            <w:r>
              <w:rPr>
                <w:rFonts w:ascii="Arial" w:cs="Arial" w:eastAsia="Arial" w:hAnsi="Arial"/>
                <w:b/>
                <w:bCs/>
                <w:color w:val="FFFFFF"/>
                <w:sz w:val="20"/>
                <w:szCs w:val="20"/>
              </w:rPr>
              <w:t xml:space="preserve">Alt C</w:t>
            </w:r>
          </w:p>
        </w:tc>
        <w:tc>
          <w:tcPr>
            <w:tcW w:type="dxa" w:w="7160"/>
            <w:tcBorders>
              <w:top w:val="single" w:color="CCCCCC" w:sz="1"/>
              <w:left w:val="single" w:color="CCCCCC" w:sz="1"/>
              <w:bottom w:val="single" w:color="CCCCCC" w:sz="1"/>
              <w:right w:val="single" w:color="CCCCCC" w:sz="1"/>
            </w:tcBorders>
            <w:shd w:fill="F0FAFA" w:val="clear"/>
            <w:tcMar>
              <w:top w:type="dxa" w:w="100"/>
              <w:left w:type="dxa" w:w="140"/>
              <w:bottom w:type="dxa" w:w="100"/>
              <w:right w:type="dxa" w:w="140"/>
            </w:tcMar>
          </w:tcPr>
          <w:p>
            <w:r>
              <w:rPr>
                <w:rFonts w:ascii="Arial" w:cs="Arial" w:eastAsia="Arial" w:hAnsi="Arial"/>
                <w:i/>
                <w:iCs/>
                <w:color w:val="555555"/>
                <w:sz w:val="21"/>
                <w:szCs w:val="21"/>
              </w:rPr>
              <w:t xml:space="preserve">Your portfolio. Your signals. Your edge.</w:t>
            </w:r>
          </w:p>
        </w:tc>
      </w:tr>
    </w:tbl>
    <w:p>
      <w:pPr>
        <w:spacing w:after="80" w:before="80"/>
      </w:pPr>
      <w:r>
        <w:t xml:space="preserve"/>
      </w:r>
    </w:p>
    <w:p>
      <w:pPr>
        <w:pStyle w:val="Heading2"/>
        <w:spacing w:after="120" w:before="280"/>
      </w:pPr>
      <w:r>
        <w:rPr>
          <w:rFonts w:ascii="Arial" w:cs="Arial" w:eastAsia="Arial" w:hAnsi="Arial"/>
          <w:b/>
          <w:bCs/>
          <w:color w:val="2DD4BF"/>
          <w:sz w:val="24"/>
          <w:szCs w:val="24"/>
        </w:rPr>
        <w:t xml:space="preserve">Pillar 3 — Hold Companies to Your Thesis</w:t>
      </w:r>
    </w:p>
    <w:p>
      <w:pPr>
        <w:spacing w:after="80" w:before="60"/>
      </w:pPr>
      <w:r>
        <w:rPr>
          <w:rFonts w:ascii="Arial" w:cs="Arial" w:eastAsia="Arial" w:hAnsi="Arial"/>
          <w:color w:val="555555"/>
          <w:sz w:val="22"/>
          <w:szCs w:val="22"/>
        </w:rPr>
        <w:t xml:space="preserve">AlphaIQ lets investors define why they own each holding and get alerted the moment a company’s fundamentals, news, or direction no longer aligns with that thesis.</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7160"/>
      </w:tblGrid>
      <w:tr>
        <w:tc>
          <w:tcPr>
            <w:tcW w:type="dxa" w:w="2200"/>
            <w:tcBorders>
              <w:top w:val="single" w:color="CCCCCC" w:sz="1"/>
              <w:left w:val="single" w:color="CCCCCC" w:sz="1"/>
              <w:bottom w:val="single" w:color="CCCCCC" w:sz="1"/>
              <w:right w:val="single" w:color="CCCCCC" w:sz="1"/>
            </w:tcBorders>
            <w:shd w:fill="0D1B2A" w:val="clear"/>
            <w:tcMar>
              <w:top w:type="dxa" w:w="100"/>
              <w:left w:type="dxa" w:w="140"/>
              <w:bottom w:type="dxa" w:w="100"/>
              <w:right w:type="dxa" w:w="140"/>
            </w:tcMar>
            <w:vAlign w:val="center"/>
          </w:tcPr>
          <w:p>
            <w:pPr>
              <w:jc w:val="center"/>
            </w:pPr>
            <w:r>
              <w:rPr>
                <w:rFonts w:ascii="Arial" w:cs="Arial" w:eastAsia="Arial" w:hAnsi="Arial"/>
                <w:b/>
                <w:bCs/>
                <w:color w:val="FFFFFF"/>
                <w:sz w:val="20"/>
                <w:szCs w:val="20"/>
              </w:rPr>
              <w:t xml:space="preserve">Hero</w:t>
            </w:r>
          </w:p>
        </w:tc>
        <w:tc>
          <w:tcPr>
            <w:tcW w:type="dxa" w:w="7160"/>
            <w:tcBorders>
              <w:top w:val="single" w:color="CCCCCC" w:sz="1"/>
              <w:left w:val="single" w:color="CCCCCC" w:sz="1"/>
              <w:bottom w:val="single" w:color="CCCCCC" w:sz="1"/>
              <w:right w:val="single" w:color="CCCCCC" w:sz="1"/>
            </w:tcBorders>
            <w:shd w:fill="F0FAFA" w:val="clear"/>
            <w:tcMar>
              <w:top w:type="dxa" w:w="100"/>
              <w:left w:type="dxa" w:w="140"/>
              <w:bottom w:type="dxa" w:w="100"/>
              <w:right w:type="dxa" w:w="140"/>
            </w:tcMar>
          </w:tcPr>
          <w:p>
            <w:r>
              <w:rPr>
                <w:rFonts w:ascii="Arial" w:cs="Arial" w:eastAsia="Arial" w:hAnsi="Arial"/>
                <w:i/>
                <w:iCs/>
                <w:color w:val="555555"/>
                <w:sz w:val="21"/>
                <w:szCs w:val="21"/>
              </w:rPr>
              <w:t xml:space="preserve">Invest with conviction. Get alerted the moment a company no longer fits yours.</w:t>
            </w:r>
          </w:p>
        </w:tc>
      </w:tr>
      <w:tr>
        <w:tc>
          <w:tcPr>
            <w:tcW w:type="dxa" w:w="2200"/>
            <w:tcBorders>
              <w:top w:val="single" w:color="CCCCCC" w:sz="1"/>
              <w:left w:val="single" w:color="CCCCCC" w:sz="1"/>
              <w:bottom w:val="single" w:color="CCCCCC" w:sz="1"/>
              <w:right w:val="single" w:color="CCCCCC" w:sz="1"/>
            </w:tcBorders>
            <w:shd w:fill="0D1B2A" w:val="clear"/>
            <w:tcMar>
              <w:top w:type="dxa" w:w="100"/>
              <w:left w:type="dxa" w:w="140"/>
              <w:bottom w:type="dxa" w:w="100"/>
              <w:right w:type="dxa" w:w="140"/>
            </w:tcMar>
            <w:vAlign w:val="center"/>
          </w:tcPr>
          <w:p>
            <w:pPr>
              <w:jc w:val="center"/>
            </w:pPr>
            <w:r>
              <w:rPr>
                <w:rFonts w:ascii="Arial" w:cs="Arial" w:eastAsia="Arial" w:hAnsi="Arial"/>
                <w:b/>
                <w:bCs/>
                <w:color w:val="FFFFFF"/>
                <w:sz w:val="20"/>
                <w:szCs w:val="20"/>
              </w:rPr>
              <w:t xml:space="preserve">Alt A</w:t>
            </w:r>
          </w:p>
        </w:tc>
        <w:tc>
          <w:tcPr>
            <w:tcW w:type="dxa" w:w="7160"/>
            <w:tcBorders>
              <w:top w:val="single" w:color="CCCCCC" w:sz="1"/>
              <w:left w:val="single" w:color="CCCCCC" w:sz="1"/>
              <w:bottom w:val="single" w:color="CCCCCC" w:sz="1"/>
              <w:right w:val="single" w:color="CCCCCC" w:sz="1"/>
            </w:tcBorders>
            <w:shd w:fill="F0FAFA" w:val="clear"/>
            <w:tcMar>
              <w:top w:type="dxa" w:w="100"/>
              <w:left w:type="dxa" w:w="140"/>
              <w:bottom w:type="dxa" w:w="100"/>
              <w:right w:type="dxa" w:w="140"/>
            </w:tcMar>
          </w:tcPr>
          <w:p>
            <w:r>
              <w:rPr>
                <w:rFonts w:ascii="Arial" w:cs="Arial" w:eastAsia="Arial" w:hAnsi="Arial"/>
                <w:i/>
                <w:iCs/>
                <w:color w:val="555555"/>
                <w:sz w:val="21"/>
                <w:szCs w:val="21"/>
              </w:rPr>
              <w:t xml:space="preserve">You set the thesis. We watch the company. You act when it matters.</w:t>
            </w:r>
          </w:p>
        </w:tc>
      </w:tr>
      <w:tr>
        <w:tc>
          <w:tcPr>
            <w:tcW w:type="dxa" w:w="2200"/>
            <w:tcBorders>
              <w:top w:val="single" w:color="CCCCCC" w:sz="1"/>
              <w:left w:val="single" w:color="CCCCCC" w:sz="1"/>
              <w:bottom w:val="single" w:color="CCCCCC" w:sz="1"/>
              <w:right w:val="single" w:color="CCCCCC" w:sz="1"/>
            </w:tcBorders>
            <w:shd w:fill="0D1B2A" w:val="clear"/>
            <w:tcMar>
              <w:top w:type="dxa" w:w="100"/>
              <w:left w:type="dxa" w:w="140"/>
              <w:bottom w:type="dxa" w:w="100"/>
              <w:right w:type="dxa" w:w="140"/>
            </w:tcMar>
            <w:vAlign w:val="center"/>
          </w:tcPr>
          <w:p>
            <w:pPr>
              <w:jc w:val="center"/>
            </w:pPr>
            <w:r>
              <w:rPr>
                <w:rFonts w:ascii="Arial" w:cs="Arial" w:eastAsia="Arial" w:hAnsi="Arial"/>
                <w:b/>
                <w:bCs/>
                <w:color w:val="FFFFFF"/>
                <w:sz w:val="20"/>
                <w:szCs w:val="20"/>
              </w:rPr>
              <w:t xml:space="preserve">Alt B</w:t>
            </w:r>
          </w:p>
        </w:tc>
        <w:tc>
          <w:tcPr>
            <w:tcW w:type="dxa" w:w="7160"/>
            <w:tcBorders>
              <w:top w:val="single" w:color="CCCCCC" w:sz="1"/>
              <w:left w:val="single" w:color="CCCCCC" w:sz="1"/>
              <w:bottom w:val="single" w:color="CCCCCC" w:sz="1"/>
              <w:right w:val="single" w:color="CCCCCC" w:sz="1"/>
            </w:tcBorders>
            <w:shd w:fill="F0FAFA" w:val="clear"/>
            <w:tcMar>
              <w:top w:type="dxa" w:w="100"/>
              <w:left w:type="dxa" w:w="140"/>
              <w:bottom w:type="dxa" w:w="100"/>
              <w:right w:type="dxa" w:w="140"/>
            </w:tcMar>
          </w:tcPr>
          <w:p>
            <w:r>
              <w:rPr>
                <w:rFonts w:ascii="Arial" w:cs="Arial" w:eastAsia="Arial" w:hAnsi="Arial"/>
                <w:i/>
                <w:iCs/>
                <w:color w:val="555555"/>
                <w:sz w:val="21"/>
                <w:szCs w:val="21"/>
              </w:rPr>
              <w:t xml:space="preserve">Know why you own it. Know the moment that changes.</w:t>
            </w:r>
          </w:p>
        </w:tc>
      </w:tr>
      <w:tr>
        <w:tc>
          <w:tcPr>
            <w:tcW w:type="dxa" w:w="2200"/>
            <w:tcBorders>
              <w:top w:val="single" w:color="CCCCCC" w:sz="1"/>
              <w:left w:val="single" w:color="CCCCCC" w:sz="1"/>
              <w:bottom w:val="single" w:color="CCCCCC" w:sz="1"/>
              <w:right w:val="single" w:color="CCCCCC" w:sz="1"/>
            </w:tcBorders>
            <w:shd w:fill="0D1B2A" w:val="clear"/>
            <w:tcMar>
              <w:top w:type="dxa" w:w="100"/>
              <w:left w:type="dxa" w:w="140"/>
              <w:bottom w:type="dxa" w:w="100"/>
              <w:right w:type="dxa" w:w="140"/>
            </w:tcMar>
            <w:vAlign w:val="center"/>
          </w:tcPr>
          <w:p>
            <w:pPr>
              <w:jc w:val="center"/>
            </w:pPr>
            <w:r>
              <w:rPr>
                <w:rFonts w:ascii="Arial" w:cs="Arial" w:eastAsia="Arial" w:hAnsi="Arial"/>
                <w:b/>
                <w:bCs/>
                <w:color w:val="FFFFFF"/>
                <w:sz w:val="20"/>
                <w:szCs w:val="20"/>
              </w:rPr>
              <w:t xml:space="preserve">Alt C</w:t>
            </w:r>
          </w:p>
        </w:tc>
        <w:tc>
          <w:tcPr>
            <w:tcW w:type="dxa" w:w="7160"/>
            <w:tcBorders>
              <w:top w:val="single" w:color="CCCCCC" w:sz="1"/>
              <w:left w:val="single" w:color="CCCCCC" w:sz="1"/>
              <w:bottom w:val="single" w:color="CCCCCC" w:sz="1"/>
              <w:right w:val="single" w:color="CCCCCC" w:sz="1"/>
            </w:tcBorders>
            <w:shd w:fill="F0FAFA" w:val="clear"/>
            <w:tcMar>
              <w:top w:type="dxa" w:w="100"/>
              <w:left w:type="dxa" w:w="140"/>
              <w:bottom w:type="dxa" w:w="100"/>
              <w:right w:type="dxa" w:w="140"/>
            </w:tcMar>
          </w:tcPr>
          <w:p>
            <w:r>
              <w:rPr>
                <w:rFonts w:ascii="Arial" w:cs="Arial" w:eastAsia="Arial" w:hAnsi="Arial"/>
                <w:i/>
                <w:iCs/>
                <w:color w:val="555555"/>
                <w:sz w:val="21"/>
                <w:szCs w:val="21"/>
              </w:rPr>
              <w:t xml:space="preserve">Your investment thesis, monitored 24/7. Act on facts, not feelings.</w:t>
            </w:r>
          </w:p>
        </w:tc>
      </w:tr>
    </w:tbl>
    <w:p>
      <w:pPr>
        <w:spacing w:after="80" w:before="80"/>
      </w:pPr>
      <w:r>
        <w:t xml:space="preserve"/>
      </w:r>
    </w:p>
    <w:p>
      <w:pPr>
        <w:pStyle w:val="Heading2"/>
        <w:spacing w:after="120" w:before="280"/>
      </w:pPr>
      <w:r>
        <w:rPr>
          <w:rFonts w:ascii="Arial" w:cs="Arial" w:eastAsia="Arial" w:hAnsi="Arial"/>
          <w:b/>
          <w:bCs/>
          <w:color w:val="2DD4BF"/>
          <w:sz w:val="24"/>
          <w:szCs w:val="24"/>
        </w:rPr>
        <w:t xml:space="preserve">Combined Hero Lines (for primary / brand creatives)</w:t>
      </w:r>
    </w:p>
    <w:p>
      <w:pPr>
        <w:pStyle w:val="ListParagraph"/>
        <w:numPr>
          <w:ilvl w:val="0"/>
          <w:numId w:val="2"/>
        </w:numPr>
        <w:spacing w:after="40" w:before="40"/>
      </w:pPr>
      <w:r>
        <w:rPr>
          <w:rFonts w:ascii="Arial" w:cs="Arial" w:eastAsia="Arial" w:hAnsi="Arial"/>
          <w:i/>
          <w:iCs/>
          <w:color w:val="333333"/>
          <w:sz w:val="22"/>
          <w:szCs w:val="22"/>
        </w:rPr>
        <w:t xml:space="preserve">Model your retirement. Own your signals. Hold your thesis.</w:t>
      </w:r>
    </w:p>
    <w:p>
      <w:pPr>
        <w:pStyle w:val="ListParagraph"/>
        <w:numPr>
          <w:ilvl w:val="0"/>
          <w:numId w:val="2"/>
        </w:numPr>
        <w:spacing w:after="40" w:before="40"/>
      </w:pPr>
      <w:r>
        <w:rPr>
          <w:rFonts w:ascii="Arial" w:cs="Arial" w:eastAsia="Arial" w:hAnsi="Arial"/>
          <w:i/>
          <w:iCs/>
          <w:color w:val="333333"/>
          <w:sz w:val="22"/>
          <w:szCs w:val="22"/>
        </w:rPr>
        <w:t xml:space="preserve">Financial freedom isn’t an accident. It’s a model, a plan, and the right intelligence.</w:t>
      </w:r>
    </w:p>
    <w:p>
      <w:pPr>
        <w:pStyle w:val="ListParagraph"/>
        <w:numPr>
          <w:ilvl w:val="0"/>
          <w:numId w:val="2"/>
        </w:numPr>
        <w:spacing w:after="40" w:before="40"/>
      </w:pPr>
      <w:r>
        <w:rPr>
          <w:rFonts w:ascii="Arial" w:cs="Arial" w:eastAsia="Arial" w:hAnsi="Arial"/>
          <w:i/>
          <w:iCs/>
          <w:color w:val="333333"/>
          <w:sz w:val="22"/>
          <w:szCs w:val="22"/>
        </w:rPr>
        <w:t xml:space="preserve">Know when you’ll be free. Know what’s worth owning. Know when to move.</w:t>
      </w:r>
    </w:p>
    <w:p>
      <w:pPr>
        <w:pStyle w:val="Heading1"/>
        <w:pBdr>
          <w:bottom w:val="single" w:color="2DD4BF" w:sz="8" w:space="4"/>
        </w:pBdr>
        <w:spacing w:after="160" w:before="360"/>
      </w:pPr>
      <w:r>
        <w:rPr>
          <w:rFonts w:ascii="Arial" w:cs="Arial" w:eastAsia="Arial" w:hAnsi="Arial"/>
          <w:b/>
          <w:bCs/>
          <w:color w:val="0D1B2A"/>
          <w:sz w:val="28"/>
          <w:szCs w:val="28"/>
        </w:rPr>
        <w:t xml:space="preserve">5. Required Ad Formats</w:t>
      </w:r>
    </w:p>
    <w:p>
      <w:pPr>
        <w:spacing w:after="80" w:before="60"/>
      </w:pPr>
      <w:r>
        <w:rPr>
          <w:rFonts w:ascii="Arial" w:cs="Arial" w:eastAsia="Arial" w:hAnsi="Arial"/>
          <w:color w:val="555555"/>
          <w:sz w:val="22"/>
          <w:szCs w:val="22"/>
        </w:rPr>
        <w:t xml:space="preserve">All four formats are required. Each should be produced for all three messaging pillars, giving a total of 12 core creatives plus 2 layout/copy variations per format.</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400"/>
        <w:gridCol w:w="4560"/>
      </w:tblGrid>
      <w:tr>
        <w:tc>
          <w:tcPr>
            <w:tcW w:type="dxa" w:w="2400"/>
            <w:tcBorders>
              <w:top w:val="single" w:color="CCCCCC" w:sz="1"/>
              <w:left w:val="single" w:color="CCCCCC" w:sz="1"/>
              <w:bottom w:val="single" w:color="CCCCCC" w:sz="1"/>
              <w:right w:val="single" w:color="CCCCCC" w:sz="1"/>
            </w:tcBorders>
            <w:shd w:fill="0D1B2A" w:val="clear"/>
            <w:tcMar>
              <w:top w:type="dxa" w:w="80"/>
              <w:left w:type="dxa" w:w="120"/>
              <w:bottom w:type="dxa" w:w="80"/>
              <w:right w:type="dxa" w:w="120"/>
            </w:tcMar>
          </w:tcPr>
          <w:p>
            <w:r>
              <w:rPr>
                <w:rFonts w:ascii="Arial" w:cs="Arial" w:eastAsia="Arial" w:hAnsi="Arial"/>
                <w:b/>
                <w:bCs/>
                <w:color w:val="FFFFFF"/>
                <w:sz w:val="20"/>
                <w:szCs w:val="20"/>
              </w:rPr>
              <w:t xml:space="preserve">Format</w:t>
            </w:r>
          </w:p>
        </w:tc>
        <w:tc>
          <w:tcPr>
            <w:tcW w:type="dxa" w:w="2400"/>
            <w:tcBorders>
              <w:top w:val="single" w:color="CCCCCC" w:sz="1"/>
              <w:left w:val="single" w:color="CCCCCC" w:sz="1"/>
              <w:bottom w:val="single" w:color="CCCCCC" w:sz="1"/>
              <w:right w:val="single" w:color="CCCCCC" w:sz="1"/>
            </w:tcBorders>
            <w:shd w:fill="0D1B2A" w:val="clear"/>
            <w:tcMar>
              <w:top w:type="dxa" w:w="80"/>
              <w:left w:type="dxa" w:w="120"/>
              <w:bottom w:type="dxa" w:w="80"/>
              <w:right w:type="dxa" w:w="120"/>
            </w:tcMar>
          </w:tcPr>
          <w:p>
            <w:r>
              <w:rPr>
                <w:rFonts w:ascii="Arial" w:cs="Arial" w:eastAsia="Arial" w:hAnsi="Arial"/>
                <w:b/>
                <w:bCs/>
                <w:color w:val="FFFFFF"/>
                <w:sz w:val="20"/>
                <w:szCs w:val="20"/>
              </w:rPr>
              <w:t xml:space="preserve">Dimensions</w:t>
            </w:r>
          </w:p>
        </w:tc>
        <w:tc>
          <w:tcPr>
            <w:tcW w:type="dxa" w:w="4560"/>
            <w:tcBorders>
              <w:top w:val="single" w:color="CCCCCC" w:sz="1"/>
              <w:left w:val="single" w:color="CCCCCC" w:sz="1"/>
              <w:bottom w:val="single" w:color="CCCCCC" w:sz="1"/>
              <w:right w:val="single" w:color="CCCCCC" w:sz="1"/>
            </w:tcBorders>
            <w:shd w:fill="0D1B2A" w:val="clear"/>
            <w:tcMar>
              <w:top w:type="dxa" w:w="80"/>
              <w:left w:type="dxa" w:w="120"/>
              <w:bottom w:type="dxa" w:w="80"/>
              <w:right w:type="dxa" w:w="120"/>
            </w:tcMar>
          </w:tcPr>
          <w:p>
            <w:r>
              <w:rPr>
                <w:rFonts w:ascii="Arial" w:cs="Arial" w:eastAsia="Arial" w:hAnsi="Arial"/>
                <w:b/>
                <w:bCs/>
                <w:color w:val="FFFFFF"/>
                <w:sz w:val="20"/>
                <w:szCs w:val="20"/>
              </w:rPr>
              <w:t xml:space="preserve">Use Case</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555555"/>
                <w:sz w:val="20"/>
                <w:szCs w:val="20"/>
              </w:rPr>
              <w:t xml:space="preserve">1:1</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555555"/>
                <w:sz w:val="20"/>
                <w:szCs w:val="20"/>
              </w:rPr>
              <w:t xml:space="preserve">1080 × 1080 px</w:t>
            </w:r>
          </w:p>
        </w:tc>
        <w:tc>
          <w:tcPr>
            <w:tcW w:type="dxa" w:w="4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555555"/>
                <w:sz w:val="20"/>
                <w:szCs w:val="20"/>
              </w:rPr>
              <w:t xml:space="preserve">Instagram Feed, Facebook Feed, LinkedIn Feed</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555555"/>
                <w:sz w:val="20"/>
                <w:szCs w:val="20"/>
              </w:rPr>
              <w:t xml:space="preserve">9:16</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555555"/>
                <w:sz w:val="20"/>
                <w:szCs w:val="20"/>
              </w:rPr>
              <w:t xml:space="preserve">1080 × 1920 px</w:t>
            </w:r>
          </w:p>
        </w:tc>
        <w:tc>
          <w:tcPr>
            <w:tcW w:type="dxa" w:w="4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555555"/>
                <w:sz w:val="20"/>
                <w:szCs w:val="20"/>
              </w:rPr>
              <w:t xml:space="preserve">Instagram Stories, Facebook Stories, Reels, TikTok</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555555"/>
                <w:sz w:val="20"/>
                <w:szCs w:val="20"/>
              </w:rPr>
              <w:t xml:space="preserve">1.91:1</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555555"/>
                <w:sz w:val="20"/>
                <w:szCs w:val="20"/>
              </w:rPr>
              <w:t xml:space="preserve">1200 × 628 px</w:t>
            </w:r>
          </w:p>
        </w:tc>
        <w:tc>
          <w:tcPr>
            <w:tcW w:type="dxa" w:w="4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555555"/>
                <w:sz w:val="20"/>
                <w:szCs w:val="20"/>
              </w:rPr>
              <w:t xml:space="preserve">Facebook/LinkedIn Landscape Feed, Google Display</w:t>
            </w:r>
          </w:p>
        </w:tc>
      </w:tr>
      <w:tr>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555555"/>
                <w:sz w:val="20"/>
                <w:szCs w:val="20"/>
              </w:rPr>
              <w:t xml:space="preserve">4:5</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555555"/>
                <w:sz w:val="20"/>
                <w:szCs w:val="20"/>
              </w:rPr>
              <w:t xml:space="preserve">1080 × 1350 px</w:t>
            </w:r>
          </w:p>
        </w:tc>
        <w:tc>
          <w:tcPr>
            <w:tcW w:type="dxa" w:w="4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555555"/>
                <w:sz w:val="20"/>
                <w:szCs w:val="20"/>
              </w:rPr>
              <w:t xml:space="preserve">Instagram Portrait Feed, Facebook Portrait Feed</w:t>
            </w:r>
          </w:p>
        </w:tc>
      </w:tr>
    </w:tbl>
    <w:p>
      <w:pPr>
        <w:pStyle w:val="Heading1"/>
        <w:pBdr>
          <w:bottom w:val="single" w:color="2DD4BF" w:sz="8" w:space="4"/>
        </w:pBdr>
        <w:spacing w:after="160" w:before="360"/>
      </w:pPr>
      <w:r>
        <w:rPr>
          <w:rFonts w:ascii="Arial" w:cs="Arial" w:eastAsia="Arial" w:hAnsi="Arial"/>
          <w:b/>
          <w:bCs/>
          <w:color w:val="0D1B2A"/>
          <w:sz w:val="28"/>
          <w:szCs w:val="28"/>
        </w:rPr>
        <w:t xml:space="preserve">6. Deliverables</w:t>
      </w:r>
    </w:p>
    <w:p>
      <w:pPr>
        <w:pStyle w:val="ListParagraph"/>
        <w:numPr>
          <w:ilvl w:val="0"/>
          <w:numId w:val="2"/>
        </w:numPr>
        <w:spacing w:after="40" w:before="40"/>
      </w:pPr>
      <w:r>
        <w:rPr>
          <w:rFonts w:ascii="Arial" w:cs="Arial" w:eastAsia="Arial" w:hAnsi="Arial"/>
          <w:color w:val="555555"/>
          <w:sz w:val="22"/>
          <w:szCs w:val="22"/>
        </w:rPr>
        <w:t xml:space="preserve">Source files with fully editable, labelled text layers (Figma preferred; PSD or AI acceptable)</w:t>
      </w:r>
    </w:p>
    <w:p>
      <w:pPr>
        <w:pStyle w:val="ListParagraph"/>
        <w:numPr>
          <w:ilvl w:val="0"/>
          <w:numId w:val="2"/>
        </w:numPr>
        <w:spacing w:after="40" w:before="40"/>
      </w:pPr>
      <w:r>
        <w:rPr>
          <w:rFonts w:ascii="Arial" w:cs="Arial" w:eastAsia="Arial" w:hAnsi="Arial"/>
          <w:color w:val="555555"/>
          <w:sz w:val="22"/>
          <w:szCs w:val="22"/>
        </w:rPr>
        <w:t xml:space="preserve">Exported flat versions (PNG) of every size at 72dpi minimum</w:t>
      </w:r>
    </w:p>
    <w:p>
      <w:pPr>
        <w:pStyle w:val="ListParagraph"/>
        <w:numPr>
          <w:ilvl w:val="0"/>
          <w:numId w:val="2"/>
        </w:numPr>
        <w:spacing w:after="40" w:before="40"/>
      </w:pPr>
      <w:r>
        <w:rPr>
          <w:rFonts w:ascii="Arial" w:cs="Arial" w:eastAsia="Arial" w:hAnsi="Arial"/>
          <w:color w:val="555555"/>
          <w:sz w:val="22"/>
          <w:szCs w:val="22"/>
        </w:rPr>
        <w:t xml:space="preserve">At least 2 layout or copy variations per format size</w:t>
      </w:r>
    </w:p>
    <w:p>
      <w:pPr>
        <w:pStyle w:val="ListParagraph"/>
        <w:numPr>
          <w:ilvl w:val="0"/>
          <w:numId w:val="2"/>
        </w:numPr>
        <w:spacing w:after="40" w:before="40"/>
      </w:pPr>
      <w:r>
        <w:rPr>
          <w:rFonts w:ascii="Arial" w:cs="Arial" w:eastAsia="Arial" w:hAnsi="Arial"/>
          <w:color w:val="555555"/>
          <w:sz w:val="22"/>
          <w:szCs w:val="22"/>
        </w:rPr>
        <w:t xml:space="preserve">Each pillar treated as a separate creative direction (one pillar per ad)</w:t>
      </w:r>
    </w:p>
    <w:p>
      <w:pPr>
        <w:pStyle w:val="ListParagraph"/>
        <w:numPr>
          <w:ilvl w:val="0"/>
          <w:numId w:val="2"/>
        </w:numPr>
        <w:spacing w:after="40" w:before="40"/>
      </w:pPr>
      <w:r>
        <w:rPr>
          <w:rFonts w:ascii="Arial" w:cs="Arial" w:eastAsia="Arial" w:hAnsi="Arial"/>
          <w:color w:val="555555"/>
          <w:sz w:val="22"/>
          <w:szCs w:val="22"/>
        </w:rPr>
        <w:t xml:space="preserve">All text layers clearly named by pillar and variant (e.g. P1-Hero, P2-AltA)</w:t>
      </w:r>
    </w:p>
    <w:p>
      <w:pPr>
        <w:pStyle w:val="Heading1"/>
        <w:pBdr>
          <w:bottom w:val="single" w:color="2DD4BF" w:sz="8" w:space="4"/>
        </w:pBdr>
        <w:spacing w:after="160" w:before="360"/>
      </w:pPr>
      <w:r>
        <w:rPr>
          <w:rFonts w:ascii="Arial" w:cs="Arial" w:eastAsia="Arial" w:hAnsi="Arial"/>
          <w:b/>
          <w:bCs/>
          <w:color w:val="0D1B2A"/>
          <w:sz w:val="28"/>
          <w:szCs w:val="28"/>
        </w:rPr>
        <w:t xml:space="preserve">7. Visual Style &amp; Brand Guidelines</w:t>
      </w:r>
    </w:p>
    <w:p>
      <w:pPr>
        <w:pStyle w:val="ListParagraph"/>
        <w:numPr>
          <w:ilvl w:val="0"/>
          <w:numId w:val="2"/>
        </w:numPr>
        <w:spacing w:after="40" w:before="40"/>
      </w:pPr>
      <w:r>
        <w:rPr>
          <w:rFonts w:ascii="Arial" w:cs="Arial" w:eastAsia="Arial" w:hAnsi="Arial"/>
          <w:color w:val="555555"/>
          <w:sz w:val="22"/>
          <w:szCs w:val="22"/>
        </w:rPr>
        <w:t xml:space="preserve">Dark background — deep navy (#0D1B2A) as the primary canvas</w:t>
      </w:r>
    </w:p>
    <w:p>
      <w:pPr>
        <w:pStyle w:val="ListParagraph"/>
        <w:numPr>
          <w:ilvl w:val="0"/>
          <w:numId w:val="2"/>
        </w:numPr>
        <w:spacing w:after="40" w:before="40"/>
      </w:pPr>
      <w:r>
        <w:rPr>
          <w:rFonts w:ascii="Arial" w:cs="Arial" w:eastAsia="Arial" w:hAnsi="Arial"/>
          <w:color w:val="555555"/>
          <w:sz w:val="22"/>
          <w:szCs w:val="22"/>
        </w:rPr>
        <w:t xml:space="preserve">Teal (#2DD4BF) as the primary accent and highlight colour</w:t>
      </w:r>
    </w:p>
    <w:p>
      <w:pPr>
        <w:pStyle w:val="ListParagraph"/>
        <w:numPr>
          <w:ilvl w:val="0"/>
          <w:numId w:val="2"/>
        </w:numPr>
        <w:spacing w:after="40" w:before="40"/>
      </w:pPr>
      <w:r>
        <w:rPr>
          <w:rFonts w:ascii="Arial" w:cs="Arial" w:eastAsia="Arial" w:hAnsi="Arial"/>
          <w:color w:val="555555"/>
          <w:sz w:val="22"/>
          <w:szCs w:val="22"/>
        </w:rPr>
        <w:t xml:space="preserve">White body text on dark backgrounds — clean, high contrast</w:t>
      </w:r>
    </w:p>
    <w:p>
      <w:pPr>
        <w:pStyle w:val="ListParagraph"/>
        <w:numPr>
          <w:ilvl w:val="0"/>
          <w:numId w:val="2"/>
        </w:numPr>
        <w:spacing w:after="40" w:before="40"/>
      </w:pPr>
      <w:r>
        <w:rPr>
          <w:rFonts w:ascii="Arial" w:cs="Arial" w:eastAsia="Arial" w:hAnsi="Arial"/>
          <w:color w:val="555555"/>
          <w:sz w:val="22"/>
          <w:szCs w:val="22"/>
        </w:rPr>
        <w:t xml:space="preserve">Typography: modern sans-serif, bold headlines, generous whitespace</w:t>
      </w:r>
    </w:p>
    <w:p>
      <w:pPr>
        <w:pStyle w:val="ListParagraph"/>
        <w:numPr>
          <w:ilvl w:val="0"/>
          <w:numId w:val="2"/>
        </w:numPr>
        <w:spacing w:after="40" w:before="40"/>
      </w:pPr>
      <w:r>
        <w:rPr>
          <w:rFonts w:ascii="Arial" w:cs="Arial" w:eastAsia="Arial" w:hAnsi="Arial"/>
          <w:color w:val="555555"/>
          <w:sz w:val="22"/>
          <w:szCs w:val="22"/>
        </w:rPr>
        <w:t xml:space="preserve">Futuristic fintech aesthetic — premium and trustworthy, not crypto-hype</w:t>
      </w:r>
    </w:p>
    <w:p>
      <w:pPr>
        <w:pStyle w:val="ListParagraph"/>
        <w:numPr>
          <w:ilvl w:val="0"/>
          <w:numId w:val="2"/>
        </w:numPr>
        <w:spacing w:after="40" w:before="40"/>
      </w:pPr>
      <w:r>
        <w:rPr>
          <w:rFonts w:ascii="Arial" w:cs="Arial" w:eastAsia="Arial" w:hAnsi="Arial"/>
          <w:color w:val="555555"/>
          <w:sz w:val="22"/>
          <w:szCs w:val="22"/>
        </w:rPr>
        <w:t xml:space="preserve">Abstract data visualisation elements welcome (graphs, timelines, projections) — no generic stock photography</w:t>
      </w:r>
    </w:p>
    <w:p>
      <w:pPr>
        <w:pStyle w:val="ListParagraph"/>
        <w:numPr>
          <w:ilvl w:val="0"/>
          <w:numId w:val="2"/>
        </w:numPr>
        <w:spacing w:after="40" w:before="40"/>
      </w:pPr>
      <w:r>
        <w:rPr>
          <w:rFonts w:ascii="Arial" w:cs="Arial" w:eastAsia="Arial" w:hAnsi="Arial"/>
          <w:color w:val="555555"/>
          <w:sz w:val="22"/>
          <w:szCs w:val="22"/>
        </w:rPr>
        <w:t xml:space="preserve">If icons are used, Lucide-style clean line icons only — no emoji, no icon fonts</w:t>
      </w:r>
    </w:p>
    <w:p>
      <w:pPr>
        <w:pStyle w:val="ListParagraph"/>
        <w:numPr>
          <w:ilvl w:val="0"/>
          <w:numId w:val="2"/>
        </w:numPr>
        <w:spacing w:after="40" w:before="40"/>
      </w:pPr>
      <w:r>
        <w:rPr>
          <w:rFonts w:ascii="Arial" w:cs="Arial" w:eastAsia="Arial" w:hAnsi="Arial"/>
          <w:color w:val="555555"/>
          <w:sz w:val="22"/>
          <w:szCs w:val="22"/>
        </w:rPr>
        <w:t xml:space="preserve">No handshakes, laptops on desks, or tired financial imagery</w:t>
      </w:r>
    </w:p>
    <w:p>
      <w:pPr>
        <w:pStyle w:val="Heading1"/>
        <w:pBdr>
          <w:bottom w:val="single" w:color="2DD4BF" w:sz="8" w:space="4"/>
        </w:pBdr>
        <w:spacing w:after="160" w:before="360"/>
      </w:pPr>
      <w:r>
        <w:rPr>
          <w:rFonts w:ascii="Arial" w:cs="Arial" w:eastAsia="Arial" w:hAnsi="Arial"/>
          <w:b/>
          <w:bCs/>
          <w:color w:val="0D1B2A"/>
          <w:sz w:val="28"/>
          <w:szCs w:val="28"/>
        </w:rPr>
        <w:t xml:space="preserve">8. Do Not Include</w:t>
      </w:r>
    </w:p>
    <w:p>
      <w:pPr>
        <w:pStyle w:val="ListParagraph"/>
        <w:numPr>
          <w:ilvl w:val="0"/>
          <w:numId w:val="2"/>
        </w:numPr>
        <w:spacing w:after="40" w:before="40"/>
      </w:pPr>
      <w:r>
        <w:rPr>
          <w:rFonts w:ascii="Arial" w:cs="Arial" w:eastAsia="Arial" w:hAnsi="Arial"/>
          <w:color w:val="555555"/>
          <w:sz w:val="22"/>
          <w:szCs w:val="22"/>
        </w:rPr>
        <w:t xml:space="preserve">Specific financial returns, yield figures, or performance claims of any kind</w:t>
      </w:r>
    </w:p>
    <w:p>
      <w:pPr>
        <w:pStyle w:val="ListParagraph"/>
        <w:numPr>
          <w:ilvl w:val="0"/>
          <w:numId w:val="2"/>
        </w:numPr>
        <w:spacing w:after="40" w:before="40"/>
      </w:pPr>
      <w:r>
        <w:rPr>
          <w:rFonts w:ascii="Arial" w:cs="Arial" w:eastAsia="Arial" w:hAnsi="Arial"/>
          <w:color w:val="555555"/>
          <w:sz w:val="22"/>
          <w:szCs w:val="22"/>
        </w:rPr>
        <w:t xml:space="preserve">Regulatory or licensing language — this will be managed separately</w:t>
      </w:r>
    </w:p>
    <w:p>
      <w:pPr>
        <w:pStyle w:val="ListParagraph"/>
        <w:numPr>
          <w:ilvl w:val="0"/>
          <w:numId w:val="2"/>
        </w:numPr>
        <w:spacing w:after="40" w:before="40"/>
      </w:pPr>
      <w:r>
        <w:rPr>
          <w:rFonts w:ascii="Arial" w:cs="Arial" w:eastAsia="Arial" w:hAnsi="Arial"/>
          <w:color w:val="555555"/>
          <w:sz w:val="22"/>
          <w:szCs w:val="22"/>
        </w:rPr>
        <w:t xml:space="preserve">Generic stock photography (charts on laptops, boardrooms, handshakes)</w:t>
      </w:r>
    </w:p>
    <w:p>
      <w:pPr>
        <w:pStyle w:val="ListParagraph"/>
        <w:numPr>
          <w:ilvl w:val="0"/>
          <w:numId w:val="2"/>
        </w:numPr>
        <w:spacing w:after="40" w:before="40"/>
      </w:pPr>
      <w:r>
        <w:rPr>
          <w:rFonts w:ascii="Arial" w:cs="Arial" w:eastAsia="Arial" w:hAnsi="Arial"/>
          <w:color w:val="555555"/>
          <w:sz w:val="22"/>
          <w:szCs w:val="22"/>
        </w:rPr>
        <w:t xml:space="preserve">Emoji or decorative icon fonts</w:t>
      </w:r>
    </w:p>
    <w:p>
      <w:pPr>
        <w:pStyle w:val="ListParagraph"/>
        <w:numPr>
          <w:ilvl w:val="0"/>
          <w:numId w:val="2"/>
        </w:numPr>
        <w:spacing w:after="40" w:before="40"/>
      </w:pPr>
      <w:r>
        <w:rPr>
          <w:rFonts w:ascii="Arial" w:cs="Arial" w:eastAsia="Arial" w:hAnsi="Arial"/>
          <w:color w:val="555555"/>
          <w:sz w:val="22"/>
          <w:szCs w:val="22"/>
        </w:rPr>
        <w:t xml:space="preserve">More than one core message per creative</w:t>
      </w:r>
    </w:p>
    <w:p>
      <w:pPr>
        <w:pStyle w:val="ListParagraph"/>
        <w:numPr>
          <w:ilvl w:val="0"/>
          <w:numId w:val="2"/>
        </w:numPr>
        <w:spacing w:after="40" w:before="40"/>
      </w:pPr>
      <w:r>
        <w:rPr>
          <w:rFonts w:ascii="Arial" w:cs="Arial" w:eastAsia="Arial" w:hAnsi="Arial"/>
          <w:color w:val="555555"/>
          <w:sz w:val="22"/>
          <w:szCs w:val="22"/>
        </w:rPr>
        <w:t xml:space="preserve">Busy layouts — simplicity and impact are the priority</w:t>
      </w:r>
    </w:p>
    <w:p>
      <w:pPr>
        <w:pStyle w:val="Heading1"/>
        <w:pBdr>
          <w:bottom w:val="single" w:color="2DD4BF" w:sz="8" w:space="4"/>
        </w:pBdr>
        <w:spacing w:after="160" w:before="360"/>
      </w:pPr>
      <w:r>
        <w:rPr>
          <w:rFonts w:ascii="Arial" w:cs="Arial" w:eastAsia="Arial" w:hAnsi="Arial"/>
          <w:b/>
          <w:bCs/>
          <w:color w:val="0D1B2A"/>
          <w:sz w:val="28"/>
          <w:szCs w:val="28"/>
        </w:rPr>
        <w:t xml:space="preserve">9. Tone &amp; Voice</w:t>
      </w:r>
    </w:p>
    <w:p>
      <w:pPr>
        <w:spacing w:after="80" w:before="60"/>
      </w:pPr>
      <w:r>
        <w:rPr>
          <w:rFonts w:ascii="Arial" w:cs="Arial" w:eastAsia="Arial" w:hAnsi="Arial"/>
          <w:color w:val="555555"/>
          <w:sz w:val="22"/>
          <w:szCs w:val="22"/>
        </w:rPr>
        <w:t xml:space="preserve">Confident. Intelligent. Clear. AlphaIQ speaks to serious investors who have done their homework and want tools that match their sophistication. The tone is never condescending, never hype-driven, never salesy. Think: a smart friend who happens to know finance deeply, speaking plainly and with conviction.</w:t>
      </w:r>
    </w:p>
    <w:p>
      <w:pPr>
        <w:pStyle w:val="Heading1"/>
        <w:pBdr>
          <w:bottom w:val="single" w:color="2DD4BF" w:sz="8" w:space="4"/>
        </w:pBdr>
        <w:spacing w:after="160" w:before="360"/>
      </w:pPr>
      <w:r>
        <w:rPr>
          <w:rFonts w:ascii="Arial" w:cs="Arial" w:eastAsia="Arial" w:hAnsi="Arial"/>
          <w:b/>
          <w:bCs/>
          <w:color w:val="0D1B2A"/>
          <w:sz w:val="28"/>
          <w:szCs w:val="28"/>
        </w:rPr>
        <w:t xml:space="preserve">10. Submission Notes for Designers</w:t>
      </w:r>
    </w:p>
    <w:p>
      <w:pPr>
        <w:pStyle w:val="ListParagraph"/>
        <w:numPr>
          <w:ilvl w:val="0"/>
          <w:numId w:val="2"/>
        </w:numPr>
        <w:spacing w:after="40" w:before="40"/>
      </w:pPr>
      <w:r>
        <w:rPr>
          <w:rFonts w:ascii="Arial" w:cs="Arial" w:eastAsia="Arial" w:hAnsi="Arial"/>
          <w:color w:val="555555"/>
          <w:sz w:val="22"/>
          <w:szCs w:val="22"/>
        </w:rPr>
        <w:t xml:space="preserve">Design around one messaging pillar per creative — do not blend pillars</w:t>
      </w:r>
    </w:p>
    <w:p>
      <w:pPr>
        <w:pStyle w:val="ListParagraph"/>
        <w:numPr>
          <w:ilvl w:val="0"/>
          <w:numId w:val="2"/>
        </w:numPr>
        <w:spacing w:after="40" w:before="40"/>
      </w:pPr>
      <w:r>
        <w:rPr>
          <w:rFonts w:ascii="Arial" w:cs="Arial" w:eastAsia="Arial" w:hAnsi="Arial"/>
          <w:color w:val="555555"/>
          <w:sz w:val="22"/>
          <w:szCs w:val="22"/>
        </w:rPr>
        <w:t xml:space="preserve">Editable source files are mandatory — flat exports alone will not be accepted</w:t>
      </w:r>
    </w:p>
    <w:p>
      <w:pPr>
        <w:pStyle w:val="ListParagraph"/>
        <w:numPr>
          <w:ilvl w:val="0"/>
          <w:numId w:val="2"/>
        </w:numPr>
        <w:spacing w:after="40" w:before="40"/>
      </w:pPr>
      <w:r>
        <w:rPr>
          <w:rFonts w:ascii="Arial" w:cs="Arial" w:eastAsia="Arial" w:hAnsi="Arial"/>
          <w:color w:val="555555"/>
          <w:sz w:val="22"/>
          <w:szCs w:val="22"/>
        </w:rPr>
        <w:t xml:space="preserve">Label all text layers clearly so copy can be swapped without redesigning</w:t>
      </w:r>
    </w:p>
    <w:p>
      <w:pPr>
        <w:pStyle w:val="ListParagraph"/>
        <w:numPr>
          <w:ilvl w:val="0"/>
          <w:numId w:val="2"/>
        </w:numPr>
        <w:spacing w:after="40" w:before="40"/>
      </w:pPr>
      <w:r>
        <w:rPr>
          <w:rFonts w:ascii="Arial" w:cs="Arial" w:eastAsia="Arial" w:hAnsi="Arial"/>
          <w:color w:val="555555"/>
          <w:sz w:val="22"/>
          <w:szCs w:val="22"/>
        </w:rPr>
        <w:t xml:space="preserve">Placeholder copy from this brief is fine to use during the design phase</w:t>
      </w:r>
    </w:p>
    <w:p>
      <w:pPr>
        <w:pStyle w:val="ListParagraph"/>
        <w:numPr>
          <w:ilvl w:val="0"/>
          <w:numId w:val="2"/>
        </w:numPr>
        <w:spacing w:after="40" w:before="40"/>
      </w:pPr>
      <w:r>
        <w:rPr>
          <w:rFonts w:ascii="Arial" w:cs="Arial" w:eastAsia="Arial" w:hAnsi="Arial"/>
          <w:color w:val="555555"/>
          <w:sz w:val="22"/>
          <w:szCs w:val="22"/>
        </w:rPr>
        <w:t xml:space="preserve">Final copy will be supplied by the client after the winning design is selected</w:t>
      </w:r>
    </w:p>
    <w:p>
      <w:pPr>
        <w:pStyle w:val="ListParagraph"/>
        <w:numPr>
          <w:ilvl w:val="0"/>
          <w:numId w:val="2"/>
        </w:numPr>
        <w:spacing w:after="40" w:before="40"/>
      </w:pPr>
      <w:r>
        <w:rPr>
          <w:rFonts w:ascii="Arial" w:cs="Arial" w:eastAsia="Arial" w:hAnsi="Arial"/>
          <w:color w:val="555555"/>
          <w:sz w:val="22"/>
          <w:szCs w:val="22"/>
        </w:rPr>
        <w:t xml:space="preserve">Questions welcome — the client is responsive and happy to clarify the brief</w:t>
      </w:r>
    </w:p>
    <w:p>
      <w:pPr>
        <w:spacing w:after="80" w:before="80"/>
      </w:pPr>
      <w:r>
        <w:t xml:space="preserve"/>
      </w:r>
    </w:p>
    <w:p>
      <w:pPr>
        <w:pBdr>
          <w:top w:val="single" w:color="2DD4BF" w:sz="6" w:space="8"/>
        </w:pBdr>
        <w:spacing w:after="80" w:before="200"/>
      </w:pPr>
      <w:r>
        <w:rPr>
          <w:rFonts w:ascii="Arial" w:cs="Arial" w:eastAsia="Arial" w:hAnsi="Arial"/>
          <w:i/>
          <w:iCs/>
          <w:color w:val="888888"/>
          <w:sz w:val="20"/>
          <w:szCs w:val="20"/>
        </w:rPr>
        <w:t xml:space="preserve">alphaiq.pro  —  Wealth Intelligence for the Self-Directed Investor</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2DD4BF" w:sz="6" w:space="4"/>
      </w:pBdr>
      <w:tabs>
        <w:tab w:val="right" w:pos="9026"/>
      </w:tabs>
      <w:spacing w:before="120"/>
    </w:pPr>
    <w:r>
      <w:rPr>
        <w:rFonts w:ascii="Arial" w:cs="Arial" w:eastAsia="Arial" w:hAnsi="Arial"/>
        <w:color w:val="888888"/>
        <w:sz w:val="18"/>
        <w:szCs w:val="18"/>
      </w:rPr>
      <w:t xml:space="preserve">Confidential — AlphaIQ (alphaiq.pro)</w:t>
    </w:r>
    <w:r>
      <w:rPr>
        <w:rFonts w:ascii="Arial" w:cs="Arial" w:eastAsia="Arial" w:hAnsi="Arial"/>
        <w:color w:val="888888"/>
        <w:sz w:val="18"/>
        <w:szCs w:val="18"/>
      </w:rPr>
      <w:t xml:space="preserve">	Page </w:t>
    </w:r>
    <w:r>
      <w:rPr>
        <w:rFonts w:ascii="Arial" w:cs="Arial" w:eastAsia="Arial" w:hAnsi="Arial"/>
        <w:color w:val="888888"/>
        <w:sz w:val="18"/>
        <w:szCs w:val="18"/>
      </w:rPr>
      <w:t xml:space="preserv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DD4BF" w:sz="6" w:space="4"/>
      </w:pBdr>
      <w:spacing w:after="120"/>
    </w:pPr>
    <w:r>
      <w:rPr>
        <w:rFonts w:ascii="Arial" w:cs="Arial" w:eastAsia="Arial" w:hAnsi="Arial"/>
        <w:b/>
        <w:bCs/>
        <w:color w:val="0D1B2A"/>
        <w:sz w:val="22"/>
        <w:szCs w:val="22"/>
      </w:rPr>
      <w:t xml:space="preserve">AlphaIQ — Social Media Ad Creative Brief</w:t>
    </w:r>
    <w:r>
      <w:rPr>
        <w:rFonts w:ascii="Arial" w:cs="Arial" w:eastAsia="Arial" w:hAnsi="Arial"/>
        <w:color w:val="888888"/>
        <w:sz w:val="20"/>
        <w:szCs w:val="20"/>
      </w:rPr>
      <w:t xml:space="preserve">   |   99Designs Competition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Arial" w:cs="Arial" w:eastAsia="Arial" w:hAnsi="Arial"/>
      <w:b/>
      <w:bCs/>
      <w:color w:val="0D1B2A"/>
      <w:sz w:val="28"/>
      <w:szCs w:val="28"/>
    </w:rPr>
  </w:style>
  <w:style w:type="paragraph" w:styleId="Heading2">
    <w:name w:val="Heading 2"/>
    <w:basedOn w:val="Normal"/>
    <w:next w:val="Normal"/>
    <w:qFormat/>
    <w:pPr>
      <w:spacing w:after="120" w:before="280"/>
      <w:outlineLvl w:val="1"/>
    </w:pPr>
    <w:rPr>
      <w:rFonts w:ascii="Arial" w:cs="Arial" w:eastAsia="Arial" w:hAnsi="Arial"/>
      <w:b/>
      <w:bCs/>
      <w:color w:val="2DD4BF"/>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2026-04-02T09:48:56.267Z</dcterms:created>
  <dcterms:modified xsi:type="dcterms:W3CDTF">2026-04-02T09:48:56.268Z</dcterms:modified>
</cp:coreProperties>
</file>

<file path=docProps/custom.xml><?xml version="1.0" encoding="utf-8"?>
<Properties xmlns="http://schemas.openxmlformats.org/officeDocument/2006/custom-properties" xmlns:vt="http://schemas.openxmlformats.org/officeDocument/2006/docPropsVTypes"/>
</file>