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400"/>
      </w:pPr>
    </w:p>
    <w:p>
      <w:pPr>
        <w:spacing w:after="200"/>
        <w:jc w:val="center"/>
      </w:pPr>
      <w:r>
        <w:rPr>
          <w:rFonts w:ascii="Arial" w:cs="Arial" w:eastAsia="Arial" w:hAnsi="Arial"/>
          <w:b/>
          <w:bCs/>
          <w:color w:val="4A4A4A"/>
          <w:sz w:val="72"/>
          <w:szCs w:val="72"/>
        </w:rPr>
        <w:t xml:space="preserve">DEMAND </w:t>
      </w:r>
      <w:r>
        <w:rPr>
          <w:rFonts w:ascii="Arial" w:cs="Arial" w:eastAsia="Arial" w:hAnsi="Arial"/>
          <w:b/>
          <w:bCs/>
          <w:color w:val="1A1A1A"/>
          <w:sz w:val="72"/>
          <w:szCs w:val="72"/>
        </w:rPr>
        <w:t xml:space="preserve">|| </w:t>
      </w:r>
      <w:r>
        <w:rPr>
          <w:rFonts w:ascii="Arial" w:cs="Arial" w:eastAsia="Arial" w:hAnsi="Arial"/>
          <w:b/>
          <w:bCs/>
          <w:color w:val="2E5BFF"/>
          <w:sz w:val="72"/>
          <w:szCs w:val="72"/>
        </w:rPr>
        <w:t xml:space="preserve">PROS</w:t>
      </w:r>
    </w:p>
    <w:p>
      <w:pPr>
        <w:spacing w:after="100"/>
        <w:jc w:val="center"/>
      </w:pPr>
      <w:r>
        <w:rPr>
          <w:rFonts w:ascii="Arial" w:cs="Arial" w:eastAsia="Arial" w:hAnsi="Arial"/>
          <w:i/>
          <w:iCs/>
          <w:color w:val="666666"/>
          <w:sz w:val="28"/>
          <w:szCs w:val="28"/>
        </w:rPr>
        <w:t xml:space="preserve">Be Found. Be Chosen.</w:t>
      </w:r>
    </w:p>
    <w:p>
      <w:pPr>
        <w:spacing w:after="300"/>
      </w:pPr>
    </w:p>
    <w:p>
      <w:pPr>
        <w:spacing w:after="200"/>
        <w:jc w:val="center"/>
      </w:pPr>
      <w:r>
        <w:rPr>
          <w:rFonts w:ascii="Arial" w:cs="Arial" w:eastAsia="Arial" w:hAnsi="Arial"/>
          <w:b/>
          <w:bCs/>
          <w:color w:val="333333"/>
          <w:sz w:val="56"/>
          <w:szCs w:val="56"/>
        </w:rPr>
        <w:t xml:space="preserve">Color System</w:t>
      </w:r>
    </w:p>
    <w:p>
      <w:pPr>
        <w:spacing w:after="400"/>
        <w:jc w:val="center"/>
      </w:pPr>
      <w:r>
        <w:rPr>
          <w:rFonts w:ascii="Arial" w:cs="Arial" w:eastAsia="Arial" w:hAnsi="Arial"/>
          <w:color w:val="666666"/>
          <w:sz w:val="28"/>
          <w:szCs w:val="28"/>
        </w:rPr>
        <w:t xml:space="preserve">Primary Colors, Tints, and Background Guidelines</w:t>
      </w:r>
    </w:p>
    <w:p>
      <w:pPr>
        <w:jc w:val="center"/>
      </w:pPr>
      <w:r>
        <w:rPr>
          <w:rFonts w:ascii="Arial" w:cs="Arial" w:eastAsia="Arial" w:hAnsi="Arial"/>
          <w:color w:val="999999"/>
          <w:sz w:val="22"/>
          <w:szCs w:val="22"/>
        </w:rPr>
        <w:t xml:space="preserve">Version 1.0 | January 2025</w:t>
      </w:r>
    </w:p>
    <w:p>
      <w:r>
        <w:br w:type="page"/>
      </w:r>
    </w:p>
    <w:p>
      <w:pPr>
        <w:pStyle w:val="Heading1"/>
      </w:pPr>
      <w:r>
        <w:t xml:space="preserve">1. Primary Brand Colors</w:t>
      </w:r>
    </w:p>
    <w:p>
      <w:pPr>
        <w:spacing w:after="300"/>
      </w:pPr>
      <w:r>
        <w:rPr>
          <w:sz w:val="24"/>
          <w:szCs w:val="24"/>
        </w:rPr>
        <w:t xml:space="preserve">The Demand Pros color palette consists of five primary colors, each with semantic meaning and specific use cases.</w:t>
      </w:r>
    </w:p>
    <w:p>
      <w:pPr>
        <w:pStyle w:val="Heading2"/>
      </w:pPr>
      <w:r>
        <w:t xml:space="preserve">Brand Blue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000"/>
        <w:gridCol w:w="7360"/>
      </w:tblGrid>
      <w:tr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2E5BFF" w:val="clear"/>
            <w:tcMar>
              <w:top w:type="dxa" w:w="200"/>
              <w:left w:type="dxa" w:w="120"/>
              <w:bottom w:type="dxa" w:w="200"/>
              <w:right w:type="dxa" w:w="120"/>
            </w:tcMar>
          </w:tcPr>
          <w:p>
            <w:pPr>
              <w:jc w:val="center"/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#2E5BFF</w:t>
            </w:r>
          </w:p>
        </w:tc>
        <w:tc>
          <w:tcPr>
            <w:tcW w:type="dxa" w:w="7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100"/>
              <w:left w:type="dxa" w:w="200"/>
              <w:bottom w:type="dxa" w:w="100"/>
              <w:right w:type="dxa" w:w="200"/>
            </w:tcMar>
          </w:tcPr>
          <w:p>
            <w:r>
              <w:rPr>
                <w:sz w:val="22"/>
                <w:szCs w:val="22"/>
              </w:rPr>
              <w:t xml:space="preserve">Primary brand color. Use for CTAs, links, key messaging, PROS in logo, accent elements.</w:t>
            </w:r>
          </w:p>
          <w:p>
            <w:pPr>
              <w:spacing w:before="100"/>
            </w:pPr>
            <w:r>
              <w:rPr>
                <w:color w:val="666666"/>
                <w:sz w:val="20"/>
                <w:szCs w:val="20"/>
              </w:rPr>
              <w:t xml:space="preserve">RGB: 46, 91, 255 | CMYK: 82, 64, 0, 0</w:t>
            </w:r>
          </w:p>
        </w:tc>
      </w:tr>
    </w:tbl>
    <w:p>
      <w:pPr>
        <w:pStyle w:val="Heading2"/>
      </w:pPr>
      <w:r>
        <w:t xml:space="preserve">Growth Green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000"/>
        <w:gridCol w:w="7360"/>
      </w:tblGrid>
      <w:tr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10B981" w:val="clear"/>
            <w:tcMar>
              <w:top w:type="dxa" w:w="200"/>
              <w:left w:type="dxa" w:w="120"/>
              <w:bottom w:type="dxa" w:w="200"/>
              <w:right w:type="dxa" w:w="120"/>
            </w:tcMar>
          </w:tcPr>
          <w:p>
            <w:pPr>
              <w:jc w:val="center"/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#10B981</w:t>
            </w:r>
          </w:p>
        </w:tc>
        <w:tc>
          <w:tcPr>
            <w:tcW w:type="dxa" w:w="7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100"/>
              <w:left w:type="dxa" w:w="200"/>
              <w:bottom w:type="dxa" w:w="100"/>
              <w:right w:type="dxa" w:w="200"/>
            </w:tcMar>
          </w:tcPr>
          <w:p>
            <w:r>
              <w:rPr>
                <w:sz w:val="22"/>
                <w:szCs w:val="22"/>
              </w:rPr>
              <w:t xml:space="preserve">Success and growth. Use for positive metrics, results, case study highlights, success states.</w:t>
            </w:r>
          </w:p>
          <w:p>
            <w:pPr>
              <w:spacing w:before="100"/>
            </w:pPr>
            <w:r>
              <w:rPr>
                <w:color w:val="666666"/>
                <w:sz w:val="20"/>
                <w:szCs w:val="20"/>
              </w:rPr>
              <w:t xml:space="preserve">RGB: 16, 185, 129 | CMYK: 71, 0, 56, 0</w:t>
            </w:r>
          </w:p>
        </w:tc>
      </w:tr>
    </w:tbl>
    <w:p>
      <w:pPr>
        <w:pStyle w:val="Heading2"/>
      </w:pPr>
      <w:r>
        <w:t xml:space="preserve">Vital Violet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000"/>
        <w:gridCol w:w="7360"/>
      </w:tblGrid>
      <w:tr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8B5CF6" w:val="clear"/>
            <w:tcMar>
              <w:top w:type="dxa" w:w="200"/>
              <w:left w:type="dxa" w:w="120"/>
              <w:bottom w:type="dxa" w:w="200"/>
              <w:right w:type="dxa" w:w="120"/>
            </w:tcMar>
          </w:tcPr>
          <w:p>
            <w:pPr>
              <w:jc w:val="center"/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#8B5CF6</w:t>
            </w:r>
          </w:p>
        </w:tc>
        <w:tc>
          <w:tcPr>
            <w:tcW w:type="dxa" w:w="7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100"/>
              <w:left w:type="dxa" w:w="200"/>
              <w:bottom w:type="dxa" w:w="100"/>
              <w:right w:type="dxa" w:w="200"/>
            </w:tcMar>
          </w:tcPr>
          <w:p>
            <w:r>
              <w:rPr>
                <w:sz w:val="22"/>
                <w:szCs w:val="22"/>
              </w:rPr>
              <w:t xml:space="preserve">Premium and insight. Use for thought leadership, frameworks, insights, premium content sections.</w:t>
            </w:r>
          </w:p>
          <w:p>
            <w:pPr>
              <w:spacing w:before="100"/>
            </w:pPr>
            <w:r>
              <w:rPr>
                <w:color w:val="666666"/>
                <w:sz w:val="20"/>
                <w:szCs w:val="20"/>
              </w:rPr>
              <w:t xml:space="preserve">RGB: 139, 92, 246 | CMYK: 53, 63, 0, 0</w:t>
            </w:r>
          </w:p>
        </w:tc>
      </w:tr>
    </w:tbl>
    <w:p>
      <w:pPr>
        <w:pStyle w:val="Heading2"/>
      </w:pPr>
      <w:r>
        <w:t xml:space="preserve">Alert Red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000"/>
        <w:gridCol w:w="7360"/>
      </w:tblGrid>
      <w:tr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83224" w:val="clear"/>
            <w:tcMar>
              <w:top w:type="dxa" w:w="200"/>
              <w:left w:type="dxa" w:w="120"/>
              <w:bottom w:type="dxa" w:w="200"/>
              <w:right w:type="dxa" w:w="120"/>
            </w:tcMar>
          </w:tcPr>
          <w:p>
            <w:pPr>
              <w:jc w:val="center"/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#E83224</w:t>
            </w:r>
          </w:p>
        </w:tc>
        <w:tc>
          <w:tcPr>
            <w:tcW w:type="dxa" w:w="7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100"/>
              <w:left w:type="dxa" w:w="200"/>
              <w:bottom w:type="dxa" w:w="100"/>
              <w:right w:type="dxa" w:w="200"/>
            </w:tcMar>
          </w:tcPr>
          <w:p>
            <w:r>
              <w:rPr>
                <w:sz w:val="22"/>
                <w:szCs w:val="22"/>
              </w:rPr>
              <w:t xml:space="preserve">Urgency and problems. Use for warnings, critical information, the Five Trust Fractures, urgency.</w:t>
            </w:r>
          </w:p>
          <w:p>
            <w:pPr>
              <w:spacing w:before="100"/>
            </w:pPr>
            <w:r>
              <w:rPr>
                <w:color w:val="666666"/>
                <w:sz w:val="20"/>
                <w:szCs w:val="20"/>
              </w:rPr>
              <w:t xml:space="preserve">RGB: 232, 50, 36 | CMYK: 0, 89, 89, 0</w:t>
            </w:r>
          </w:p>
        </w:tc>
      </w:tr>
    </w:tbl>
    <w:p>
      <w:pPr>
        <w:pStyle w:val="Heading2"/>
      </w:pPr>
      <w:r>
        <w:t xml:space="preserve">DEMAND Gray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000"/>
        <w:gridCol w:w="7360"/>
      </w:tblGrid>
      <w:tr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4A4A4A" w:val="clear"/>
            <w:tcMar>
              <w:top w:type="dxa" w:w="200"/>
              <w:left w:type="dxa" w:w="120"/>
              <w:bottom w:type="dxa" w:w="200"/>
              <w:right w:type="dxa" w:w="120"/>
            </w:tcMar>
          </w:tcPr>
          <w:p>
            <w:pPr>
              <w:jc w:val="center"/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#4A4A4A</w:t>
            </w:r>
          </w:p>
        </w:tc>
        <w:tc>
          <w:tcPr>
            <w:tcW w:type="dxa" w:w="7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100"/>
              <w:left w:type="dxa" w:w="200"/>
              <w:bottom w:type="dxa" w:w="100"/>
              <w:right w:type="dxa" w:w="200"/>
            </w:tcMar>
          </w:tcPr>
          <w:p>
            <w:r>
              <w:rPr>
                <w:sz w:val="22"/>
                <w:szCs w:val="22"/>
              </w:rPr>
              <w:t xml:space="preserve">Logo and text. Use for DEMAND in logo, body text, secondary headings, neutral emphasis.</w:t>
            </w:r>
          </w:p>
          <w:p>
            <w:pPr>
              <w:spacing w:before="100"/>
            </w:pPr>
            <w:r>
              <w:rPr>
                <w:color w:val="666666"/>
                <w:sz w:val="20"/>
                <w:szCs w:val="20"/>
              </w:rPr>
              <w:t xml:space="preserve">RGB: 74, 74, 74 | CMYK: 0, 0, 0, 71</w:t>
            </w:r>
          </w:p>
        </w:tc>
      </w:tr>
    </w:tbl>
    <w:p>
      <w:r>
        <w:br w:type="page"/>
      </w:r>
    </w:p>
    <w:p>
      <w:pPr>
        <w:pStyle w:val="Heading1"/>
      </w:pPr>
      <w:r>
        <w:t xml:space="preserve">2. Dark Background Colors</w:t>
      </w:r>
    </w:p>
    <w:p>
      <w:pPr>
        <w:spacing w:after="300"/>
      </w:pPr>
      <w:r>
        <w:rPr>
          <w:sz w:val="24"/>
          <w:szCs w:val="24"/>
        </w:rPr>
        <w:t xml:space="preserve">Two approved dark backgrounds for premium, high-trust visual experiences. All primary brand colors have been tested for excellent readability on both backgrounds.</w:t>
      </w:r>
    </w:p>
    <w:p>
      <w:pPr>
        <w:pStyle w:val="Heading2"/>
      </w:pPr>
      <w:r>
        <w:t xml:space="preserve">Charcoal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000"/>
        <w:gridCol w:w="7360"/>
      </w:tblGrid>
      <w:tr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2D2D2D" w:val="clear"/>
            <w:tcMar>
              <w:top w:type="dxa" w:w="200"/>
              <w:left w:type="dxa" w:w="120"/>
              <w:bottom w:type="dxa" w:w="200"/>
              <w:right w:type="dxa" w:w="120"/>
            </w:tcMar>
          </w:tcPr>
          <w:p>
            <w:pPr>
              <w:jc w:val="center"/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#2D2D2D</w:t>
            </w:r>
          </w:p>
        </w:tc>
        <w:tc>
          <w:tcPr>
            <w:tcW w:type="dxa" w:w="7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100"/>
              <w:left w:type="dxa" w:w="200"/>
              <w:bottom w:type="dxa" w:w="100"/>
              <w:right w:type="dxa" w:w="200"/>
            </w:tcMar>
          </w:tcPr>
          <w:p>
            <w:r>
              <w:rPr>
                <w:sz w:val="22"/>
                <w:szCs w:val="22"/>
              </w:rPr>
              <w:t xml:space="preserve">Versatile and professional. Neutral background that doesn't compete with brand colors.</w:t>
            </w:r>
          </w:p>
          <w:p>
            <w:pPr>
              <w:spacing w:before="100"/>
            </w:pPr>
            <w:r>
              <w:rPr>
                <w:i/>
                <w:iCs/>
                <w:sz w:val="22"/>
                <w:szCs w:val="22"/>
              </w:rPr>
              <w:t xml:space="preserve">Use for: General content sections, testimonials, features, footer areas.</w:t>
            </w:r>
          </w:p>
        </w:tc>
      </w:tr>
    </w:tbl>
    <w:p>
      <w:pPr>
        <w:pStyle w:val="Heading2"/>
      </w:pPr>
      <w:r>
        <w:t xml:space="preserve">Dark Blue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000"/>
        <w:gridCol w:w="7360"/>
      </w:tblGrid>
      <w:tr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A1628" w:val="clear"/>
            <w:tcMar>
              <w:top w:type="dxa" w:w="200"/>
              <w:left w:type="dxa" w:w="120"/>
              <w:bottom w:type="dxa" w:w="200"/>
              <w:right w:type="dxa" w:w="120"/>
            </w:tcMar>
          </w:tcPr>
          <w:p>
            <w:pPr>
              <w:jc w:val="center"/>
            </w:pPr>
            <w:r>
              <w:rPr>
                <w:b/>
                <w:bCs/>
                <w:color w:val="FFFFFF"/>
                <w:sz w:val="22"/>
                <w:szCs w:val="22"/>
              </w:rPr>
              <w:t xml:space="preserve">#0A1628</w:t>
            </w:r>
          </w:p>
        </w:tc>
        <w:tc>
          <w:tcPr>
            <w:tcW w:type="dxa" w:w="7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100"/>
              <w:left w:type="dxa" w:w="200"/>
              <w:bottom w:type="dxa" w:w="100"/>
              <w:right w:type="dxa" w:w="200"/>
            </w:tcMar>
          </w:tcPr>
          <w:p>
            <w:r>
              <w:rPr>
                <w:sz w:val="22"/>
                <w:szCs w:val="22"/>
              </w:rPr>
              <w:t xml:space="preserve">Premium and brand-aligned. Creates emotional resonance with Brand Blue.</w:t>
            </w:r>
          </w:p>
          <w:p>
            <w:pPr>
              <w:spacing w:before="100"/>
            </w:pPr>
            <w:r>
              <w:rPr>
                <w:i/>
                <w:iCs/>
                <w:sz w:val="22"/>
                <w:szCs w:val="22"/>
              </w:rPr>
              <w:t xml:space="preserve">Use for: Hero sections, CTAs, premium content, high-impact moments.</w:t>
            </w:r>
          </w:p>
        </w:tc>
      </w:tr>
    </w:tbl>
    <w:p>
      <w:pPr>
        <w:pStyle w:val="Heading3"/>
        <w:spacing w:before="400"/>
      </w:pPr>
      <w:r>
        <w:t xml:space="preserve">When to Use Each Background</w:t>
      </w:r>
    </w:p>
    <w:p>
      <w:pPr>
        <w:pStyle w:val="ListParagraph"/>
        <w:numPr>
          <w:ilvl w:val="0"/>
          <w:numId w:val="2"/>
        </w:numPr>
      </w:pPr>
      <w:r>
        <w:rPr>
          <w:sz w:val="22"/>
          <w:szCs w:val="22"/>
        </w:rPr>
        <w:t xml:space="preserve">Hero sections: Dark Blue for maximum brand impact</w:t>
      </w:r>
    </w:p>
    <w:p>
      <w:pPr>
        <w:pStyle w:val="ListParagraph"/>
        <w:numPr>
          <w:ilvl w:val="0"/>
          <w:numId w:val="2"/>
        </w:numPr>
      </w:pPr>
      <w:r>
        <w:rPr>
          <w:sz w:val="22"/>
          <w:szCs w:val="22"/>
        </w:rPr>
        <w:t xml:space="preserve">Testimonial sections: Charcoal for neutral professionalism</w:t>
      </w:r>
    </w:p>
    <w:p>
      <w:pPr>
        <w:pStyle w:val="ListParagraph"/>
        <w:numPr>
          <w:ilvl w:val="0"/>
          <w:numId w:val="2"/>
        </w:numPr>
      </w:pPr>
      <w:r>
        <w:rPr>
          <w:sz w:val="22"/>
          <w:szCs w:val="22"/>
        </w:rPr>
        <w:t xml:space="preserve">Feature breakdowns: Charcoal to let the content shine</w:t>
      </w:r>
    </w:p>
    <w:p>
      <w:pPr>
        <w:pStyle w:val="ListParagraph"/>
        <w:numPr>
          <w:ilvl w:val="0"/>
          <w:numId w:val="2"/>
        </w:numPr>
      </w:pPr>
      <w:r>
        <w:rPr>
          <w:sz w:val="22"/>
          <w:szCs w:val="22"/>
        </w:rPr>
        <w:t xml:space="preserve">Final CTA sections: Dark Blue for premium conversion focus</w:t>
      </w:r>
    </w:p>
    <w:p>
      <w:pPr>
        <w:pStyle w:val="ListParagraph"/>
        <w:numPr>
          <w:ilvl w:val="0"/>
          <w:numId w:val="2"/>
        </w:numPr>
      </w:pPr>
      <w:r>
        <w:rPr>
          <w:sz w:val="22"/>
          <w:szCs w:val="22"/>
        </w:rPr>
        <w:t xml:space="preserve">Footer: Charcoal for subtle sophistication</w:t>
      </w:r>
    </w:p>
    <w:p>
      <w:r>
        <w:br w:type="page"/>
      </w:r>
    </w:p>
    <w:p>
      <w:pPr>
        <w:pStyle w:val="Heading1"/>
      </w:pPr>
      <w:r>
        <w:t xml:space="preserve">3. Text Colors</w:t>
      </w:r>
    </w:p>
    <w:p>
      <w:pPr>
        <w:pStyle w:val="Heading2"/>
      </w:pPr>
      <w:r>
        <w:t xml:space="preserve">On Light Backgrounds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500"/>
        <w:gridCol w:w="2000"/>
        <w:gridCol w:w="4860"/>
      </w:tblGrid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sz w:val="22"/>
                <w:szCs w:val="22"/>
              </w:rPr>
              <w:t xml:space="preserve">Use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sz w:val="22"/>
                <w:szCs w:val="22"/>
              </w:rPr>
              <w:t xml:space="preserve">Color</w:t>
            </w:r>
          </w:p>
        </w:tc>
        <w:tc>
          <w:tcPr>
            <w:tcW w:type="dxa" w:w="48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sz w:val="22"/>
                <w:szCs w:val="22"/>
              </w:rPr>
              <w:t xml:space="preserve">Application</w:t>
            </w:r>
          </w:p>
        </w:tc>
      </w:tr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Primary Text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#1A1A1A</w:t>
            </w:r>
          </w:p>
        </w:tc>
        <w:tc>
          <w:tcPr>
            <w:tcW w:type="dxa" w:w="48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Headlines (Oswald), strong emphasis</w:t>
            </w:r>
          </w:p>
        </w:tc>
      </w:tr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Body Text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#4A4A4A</w:t>
            </w:r>
          </w:p>
        </w:tc>
        <w:tc>
          <w:tcPr>
            <w:tcW w:type="dxa" w:w="48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Body copy, descriptions, taglines</w:t>
            </w:r>
          </w:p>
        </w:tc>
      </w:tr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Secondary Text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#666666</w:t>
            </w:r>
          </w:p>
        </w:tc>
        <w:tc>
          <w:tcPr>
            <w:tcW w:type="dxa" w:w="48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Captions, metadata, helper text</w:t>
            </w:r>
          </w:p>
        </w:tc>
      </w:tr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Accent Text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#2E5BFF</w:t>
            </w:r>
          </w:p>
        </w:tc>
        <w:tc>
          <w:tcPr>
            <w:tcW w:type="dxa" w:w="48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Links, accent headlines, PROS in logo</w:t>
            </w:r>
          </w:p>
        </w:tc>
      </w:tr>
    </w:tbl>
    <w:p>
      <w:pPr>
        <w:pStyle w:val="Heading2"/>
      </w:pPr>
      <w:r>
        <w:t xml:space="preserve">On Dark Backgrounds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500"/>
        <w:gridCol w:w="3500"/>
        <w:gridCol w:w="3360"/>
      </w:tblGrid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sz w:val="22"/>
                <w:szCs w:val="22"/>
              </w:rPr>
              <w:t xml:space="preserve">Use</w:t>
            </w:r>
          </w:p>
        </w:tc>
        <w:tc>
          <w:tcPr>
            <w:tcW w:type="dxa" w:w="3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sz w:val="22"/>
                <w:szCs w:val="22"/>
              </w:rPr>
              <w:t xml:space="preserve">Color</w:t>
            </w:r>
          </w:p>
        </w:tc>
        <w:tc>
          <w:tcPr>
            <w:tcW w:type="dxa" w:w="3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sz w:val="22"/>
                <w:szCs w:val="22"/>
              </w:rPr>
              <w:t xml:space="preserve">Application</w:t>
            </w:r>
          </w:p>
        </w:tc>
      </w:tr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Primary Text</w:t>
            </w:r>
          </w:p>
        </w:tc>
        <w:tc>
          <w:tcPr>
            <w:tcW w:type="dxa" w:w="3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#FFFFFF</w:t>
            </w:r>
          </w:p>
        </w:tc>
        <w:tc>
          <w:tcPr>
            <w:tcW w:type="dxa" w:w="3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Headlines, DEMAND in logo</w:t>
            </w:r>
          </w:p>
        </w:tc>
      </w:tr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Body Text</w:t>
            </w:r>
          </w:p>
        </w:tc>
        <w:tc>
          <w:tcPr>
            <w:tcW w:type="dxa" w:w="3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rgba(255,255,255,0.8)</w:t>
            </w:r>
          </w:p>
        </w:tc>
        <w:tc>
          <w:tcPr>
            <w:tcW w:type="dxa" w:w="3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Body copy, descriptions</w:t>
            </w:r>
          </w:p>
        </w:tc>
      </w:tr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Secondary Text</w:t>
            </w:r>
          </w:p>
        </w:tc>
        <w:tc>
          <w:tcPr>
            <w:tcW w:type="dxa" w:w="3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rgba(255,255,255,0.6)</w:t>
            </w:r>
          </w:p>
        </w:tc>
        <w:tc>
          <w:tcPr>
            <w:tcW w:type="dxa" w:w="3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Captions, metadata</w:t>
            </w:r>
          </w:p>
        </w:tc>
      </w:tr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Divider (Logo)</w:t>
            </w:r>
          </w:p>
        </w:tc>
        <w:tc>
          <w:tcPr>
            <w:tcW w:type="dxa" w:w="3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#E5E5E5</w:t>
            </w:r>
          </w:p>
        </w:tc>
        <w:tc>
          <w:tcPr>
            <w:tcW w:type="dxa" w:w="3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Logo divider lines</w:t>
            </w:r>
          </w:p>
        </w:tc>
      </w:tr>
      <w:tr>
        <w:tc>
          <w:tcPr>
            <w:tcW w:type="dxa" w:w="2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Accent Text</w:t>
            </w:r>
          </w:p>
        </w:tc>
        <w:tc>
          <w:tcPr>
            <w:tcW w:type="dxa" w:w="35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#2E5BFF</w:t>
            </w:r>
          </w:p>
        </w:tc>
        <w:tc>
          <w:tcPr>
            <w:tcW w:type="dxa" w:w="33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Links, PROS in logo</w:t>
            </w:r>
          </w:p>
        </w:tc>
      </w:tr>
    </w:tbl>
    <w:p>
      <w:r>
        <w:br w:type="page"/>
      </w:r>
    </w:p>
    <w:p>
      <w:pPr>
        <w:pStyle w:val="Heading1"/>
      </w:pPr>
      <w:r>
        <w:t xml:space="preserve">4. Quick Reference</w:t>
      </w:r>
    </w:p>
    <w:p>
      <w:pPr>
        <w:pStyle w:val="Heading2"/>
      </w:pPr>
      <w:r>
        <w:t xml:space="preserve">All Colors at a Glance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120"/>
        <w:gridCol w:w="2000"/>
        <w:gridCol w:w="4240"/>
      </w:tblGrid>
      <w:tr>
        <w:tc>
          <w:tcPr>
            <w:tcW w:type="dxa" w:w="31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sz w:val="22"/>
                <w:szCs w:val="22"/>
              </w:rPr>
              <w:t xml:space="preserve">Color Name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sz w:val="22"/>
                <w:szCs w:val="22"/>
              </w:rPr>
              <w:t xml:space="preserve">Hex</w:t>
            </w:r>
          </w:p>
        </w:tc>
        <w:tc>
          <w:tcPr>
            <w:tcW w:type="dxa" w:w="424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sz w:val="22"/>
                <w:szCs w:val="22"/>
              </w:rPr>
              <w:t xml:space="preserve">Primary Use</w:t>
            </w:r>
          </w:p>
        </w:tc>
      </w:tr>
      <w:tr>
        <w:tc>
          <w:tcPr>
            <w:tcW w:type="dxa" w:w="31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2E5B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  <w:sz w:val="22"/>
                <w:szCs w:val="22"/>
              </w:rPr>
              <w:t xml:space="preserve">Brand Blue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#2E5BFF</w:t>
            </w:r>
          </w:p>
        </w:tc>
        <w:tc>
          <w:tcPr>
            <w:tcW w:type="dxa" w:w="424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CTAs, links, PROS, accents</w:t>
            </w:r>
          </w:p>
        </w:tc>
      </w:tr>
      <w:tr>
        <w:tc>
          <w:tcPr>
            <w:tcW w:type="dxa" w:w="31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10B981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  <w:sz w:val="22"/>
                <w:szCs w:val="22"/>
              </w:rPr>
              <w:t xml:space="preserve">Growth Green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#10B981</w:t>
            </w:r>
          </w:p>
        </w:tc>
        <w:tc>
          <w:tcPr>
            <w:tcW w:type="dxa" w:w="424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Success, results, growth</w:t>
            </w:r>
          </w:p>
        </w:tc>
      </w:tr>
      <w:tr>
        <w:tc>
          <w:tcPr>
            <w:tcW w:type="dxa" w:w="31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8B5C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  <w:sz w:val="22"/>
                <w:szCs w:val="22"/>
              </w:rPr>
              <w:t xml:space="preserve">Vital Violet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#8B5CF6</w:t>
            </w:r>
          </w:p>
        </w:tc>
        <w:tc>
          <w:tcPr>
            <w:tcW w:type="dxa" w:w="424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Premium, insights, frameworks</w:t>
            </w:r>
          </w:p>
        </w:tc>
      </w:tr>
      <w:tr>
        <w:tc>
          <w:tcPr>
            <w:tcW w:type="dxa" w:w="31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83224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  <w:sz w:val="22"/>
                <w:szCs w:val="22"/>
              </w:rPr>
              <w:t xml:space="preserve">Alert Red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#E83224</w:t>
            </w:r>
          </w:p>
        </w:tc>
        <w:tc>
          <w:tcPr>
            <w:tcW w:type="dxa" w:w="424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Warnings, urgency, problems</w:t>
            </w:r>
          </w:p>
        </w:tc>
      </w:tr>
      <w:tr>
        <w:tc>
          <w:tcPr>
            <w:tcW w:type="dxa" w:w="31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4A4A4A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  <w:sz w:val="22"/>
                <w:szCs w:val="22"/>
              </w:rPr>
              <w:t xml:space="preserve">DEMAND Gray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#4A4A4A</w:t>
            </w:r>
          </w:p>
        </w:tc>
        <w:tc>
          <w:tcPr>
            <w:tcW w:type="dxa" w:w="424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DEMAND in logo, body text</w:t>
            </w:r>
          </w:p>
        </w:tc>
      </w:tr>
      <w:tr>
        <w:tc>
          <w:tcPr>
            <w:tcW w:type="dxa" w:w="31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2D2D2D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  <w:sz w:val="22"/>
                <w:szCs w:val="22"/>
              </w:rPr>
              <w:t xml:space="preserve">Charcoal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#2D2D2D</w:t>
            </w:r>
          </w:p>
        </w:tc>
        <w:tc>
          <w:tcPr>
            <w:tcW w:type="dxa" w:w="424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Dark background (versatile)</w:t>
            </w:r>
          </w:p>
        </w:tc>
      </w:tr>
      <w:tr>
        <w:tc>
          <w:tcPr>
            <w:tcW w:type="dxa" w:w="31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A1628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  <w:sz w:val="22"/>
                <w:szCs w:val="22"/>
              </w:rPr>
              <w:t xml:space="preserve">Dark Blue</w:t>
            </w:r>
          </w:p>
        </w:tc>
        <w:tc>
          <w:tcPr>
            <w:tcW w:type="dxa" w:w="20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Courier New" w:cs="Courier New" w:eastAsia="Courier New" w:hAnsi="Courier New"/>
                <w:sz w:val="22"/>
                <w:szCs w:val="22"/>
              </w:rPr>
              <w:t xml:space="preserve">#0A1628</w:t>
            </w:r>
          </w:p>
        </w:tc>
        <w:tc>
          <w:tcPr>
            <w:tcW w:type="dxa" w:w="424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Dark background (premium)</w:t>
            </w:r>
          </w:p>
        </w:tc>
      </w:tr>
    </w:tbl>
    <w:p>
      <w:pPr>
        <w:spacing w:before="600"/>
      </w:pPr>
    </w:p>
    <w:p>
      <w:pPr>
        <w:jc w:val="center"/>
      </w:pPr>
      <w:r>
        <w:rPr>
          <w:b/>
          <w:bCs/>
          <w:color w:val="2E5BFF"/>
          <w:sz w:val="24"/>
          <w:szCs w:val="24"/>
        </w:rPr>
        <w:t xml:space="preserve">Demand Pros Color System</w:t>
      </w:r>
      <w:r>
        <w:rPr>
          <w:color w:val="666666"/>
          <w:sz w:val="22"/>
          <w:szCs w:val="22"/>
        </w:rPr>
        <w:t xml:space="preserve"> | Version 1.0 | January 2025</w:t>
      </w:r>
    </w:p>
    <w:p>
      <w:pPr>
        <w:jc w:val="center"/>
      </w:pPr>
      <w:r>
        <w:rPr>
          <w:i/>
          <w:iCs/>
          <w:color w:val="666666"/>
          <w:sz w:val="24"/>
          <w:szCs w:val="24"/>
        </w:rPr>
        <w:t xml:space="preserve">Be Found. Be Chosen.</w:t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rPr>
        <w:color w:val="999999"/>
        <w:sz w:val="18"/>
        <w:szCs w:val="18"/>
      </w:rPr>
      <w:t xml:space="preserve">Page </w:t>
    </w:r>
    <w:r>
      <w:rPr>
        <w:color w:val="999999"/>
        <w:sz w:val="18"/>
        <w:szCs w:val="18"/>
      </w:rPr>
      <w:fldChar w:fldCharType="begin"/>
      <w:instrText xml:space="preserve">PAGE</w:instrText>
      <w:fldChar w:fldCharType="separate"/>
      <w:fldChar w:fldCharType="end"/>
    </w:r>
    <w:r>
      <w:rPr>
        <w:color w:val="999999"/>
        <w:sz w:val="18"/>
        <w:szCs w:val="18"/>
      </w:rPr>
      <w:t xml:space="preserve"> | Demand Pros Color System 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<w:p>
    <w:pPr>
      <w:jc w:val="right"/>
    </w:pPr>
    <w:r>
      <w:rPr>
        <w:rFonts w:ascii="Arial" w:cs="Arial" w:eastAsia="Arial" w:hAnsi="Arial"/>
        <w:b/>
        <w:bCs/>
        <w:color w:val="4A4A4A"/>
        <w:sz w:val="20"/>
        <w:szCs w:val="20"/>
      </w:rPr>
      <w:t xml:space="preserve">DEMAND </w:t>
    </w:r>
    <w:r>
      <w:rPr>
        <w:rFonts w:ascii="Arial" w:cs="Arial" w:eastAsia="Arial" w:hAnsi="Arial"/>
        <w:b/>
        <w:bCs/>
        <w:color w:val="1A1A1A"/>
        <w:sz w:val="20"/>
        <w:szCs w:val="20"/>
      </w:rPr>
      <w:t xml:space="preserve">|| </w:t>
    </w:r>
    <w:r>
      <w:rPr>
        <w:rFonts w:ascii="Arial" w:cs="Arial" w:eastAsia="Arial" w:hAnsi="Arial"/>
        <w:b/>
        <w:bCs/>
        <w:color w:val="2E5BFF"/>
        <w:sz w:val="20"/>
        <w:szCs w:val="20"/>
      </w:rPr>
      <w:t xml:space="preserve">PROS</w:t>
    </w:r>
    <w:r>
      <w:rPr>
        <w:rFonts w:ascii="Arial" w:cs="Arial" w:eastAsia="Arial" w:hAnsi="Arial"/>
        <w:color w:val="999999"/>
        <w:sz w:val="20"/>
        <w:szCs w:val="20"/>
      </w:rPr>
      <w:t xml:space="preserve">  Color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multiLevelType w:val="hybridMultilevel"/>
    <w:lvl w:ilvl="0" w15:tentative="1">
      <w:start w:val="1"/>
      <w:numFmt w:val="bullet"/>
      <w:lvlText w:val="•"/>
      <w:lvlJc w:val="left"/>
      <w:pPr>
        <w:ind w:left="72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4"/>
        <w:szCs w:val="24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400" w:after="200"/>
      <w:outlineLvl w:val="0"/>
    </w:pPr>
    <w:rPr>
      <w:rFonts w:ascii="Arial" w:cs="Arial" w:eastAsia="Arial" w:hAnsi="Arial"/>
      <w:b/>
      <w:bCs/>
      <w:color w:val="2E5BFF"/>
      <w:sz w:val="48"/>
      <w:szCs w:val="48"/>
    </w:rPr>
  </w:style>
  <w:style w:type="paragraph" w:styleId="Heading2">
    <w:name w:val="Heading 2"/>
    <w:basedOn w:val="Normal"/>
    <w:next w:val="Normal"/>
    <w:qFormat/>
    <w:pPr>
      <w:spacing w:before="300" w:after="150"/>
      <w:outlineLvl w:val="1"/>
    </w:pPr>
    <w:rPr>
      <w:rFonts w:ascii="Arial" w:cs="Arial" w:eastAsia="Arial" w:hAnsi="Arial"/>
      <w:b/>
      <w:bCs/>
      <w:color w:val="333333"/>
      <w:sz w:val="32"/>
      <w:szCs w:val="32"/>
    </w:rPr>
  </w:style>
  <w:style w:type="paragraph" w:styleId="Heading3">
    <w:name w:val="Heading 3"/>
    <w:basedOn w:val="Normal"/>
    <w:next w:val="Normal"/>
    <w:qFormat/>
    <w:pPr>
      <w:spacing w:before="240" w:after="120"/>
      <w:outlineLvl w:val="2"/>
    </w:pPr>
    <w:rPr>
      <w:rFonts w:ascii="Arial" w:cs="Arial" w:eastAsia="Arial" w:hAnsi="Arial"/>
      <w:b/>
      <w:bCs/>
      <w:color w:val="444444"/>
      <w:sz w:val="26"/>
      <w:szCs w:val="26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word/_rels/header1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2026-01-26T05:35:34.987Z</dcterms:created>
  <dcterms:modified xsi:type="dcterms:W3CDTF">2026-01-26T05:35:34.988Z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