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rPr>
          <w:b/>
          <w:color w:val="165FB1"/>
          <w:sz w:val="40"/>
        </w:rPr>
        <w:t>CalendarBridge for M&amp;A Integrations</w:t>
      </w:r>
    </w:p>
    <w:p>
      <w:r>
        <w:rPr>
          <w:color w:val="3C3C3C"/>
          <w:sz w:val="24"/>
        </w:rPr>
        <w:t>Accelerate post‑acquisition collaboration with secure cross‑company calendar sync</w:t>
      </w:r>
    </w:p>
    <w:p/>
    <w:p>
      <w:r>
        <w:rPr>
          <w:b/>
          <w:color w:val="165FB1"/>
          <w:sz w:val="28"/>
        </w:rPr>
        <w:t>The Integration Challenge</w:t>
      </w:r>
    </w:p>
    <w:p>
      <w:r>
        <w:t>When companies join through acquisition, cross‑tenant calendar visibility is often a hidden bottleneck:</w:t>
        <w:br/>
      </w:r>
    </w:p>
    <w:p>
      <w:pPr>
        <w:pStyle w:val="ListBullet"/>
      </w:pPr>
      <w:r>
        <w:rPr>
          <w:sz w:val="22"/>
        </w:rPr>
        <w:t>Newly combined teams can’t see each other’s availability, delaying critical integration work.</w:t>
      </w:r>
    </w:p>
    <w:p>
      <w:pPr>
        <w:pStyle w:val="ListBullet"/>
      </w:pPr>
      <w:r>
        <w:rPr>
          <w:sz w:val="22"/>
        </w:rPr>
        <w:t>Different tenants, domains, and MFA rules make simple scheduling surprisingly hard.</w:t>
      </w:r>
    </w:p>
    <w:p>
      <w:pPr>
        <w:pStyle w:val="ListBullet"/>
      </w:pPr>
      <w:r>
        <w:rPr>
          <w:sz w:val="22"/>
        </w:rPr>
        <w:t>Teams resort to manual workarounds (copy‑pasting invites, duplicate calendars, side tools).</w:t>
      </w:r>
    </w:p>
    <w:p>
      <w:pPr>
        <w:pStyle w:val="ListBullet"/>
      </w:pPr>
      <w:r>
        <w:rPr>
          <w:sz w:val="22"/>
        </w:rPr>
        <w:t>Integration leaders lose time on logistics instead of high‑value integration decisions.</w:t>
      </w:r>
    </w:p>
    <w:p>
      <w:pPr>
        <w:pStyle w:val="ListBullet"/>
      </w:pPr>
      <w:r>
        <w:rPr>
          <w:sz w:val="22"/>
        </w:rPr>
        <w:t>Early collaboration friction can undermine the “Day 1” experience for key talent.</w:t>
      </w:r>
    </w:p>
    <w:p/>
    <w:p>
      <w:r>
        <w:rPr>
          <w:b/>
          <w:color w:val="165FB1"/>
          <w:sz w:val="28"/>
        </w:rPr>
        <w:t>How CalendarBridge Helps</w:t>
      </w:r>
    </w:p>
    <w:p>
      <w:pPr>
        <w:pStyle w:val="ListBullet"/>
      </w:pPr>
      <w:r>
        <w:rPr>
          <w:sz w:val="22"/>
        </w:rPr>
        <w:t>Real‑time calendar syncing between Google, Microsoft 365/Outlook, and iCloud.</w:t>
      </w:r>
    </w:p>
    <w:p>
      <w:pPr>
        <w:pStyle w:val="ListBullet"/>
      </w:pPr>
      <w:r>
        <w:rPr>
          <w:sz w:val="22"/>
        </w:rPr>
        <w:t>Secure cross‑tenant availability sharing without waiting for domain or email migration.</w:t>
      </w:r>
    </w:p>
    <w:p>
      <w:pPr>
        <w:pStyle w:val="ListBullet"/>
      </w:pPr>
      <w:r>
        <w:rPr>
          <w:sz w:val="22"/>
        </w:rPr>
        <w:t>Events created in one calendar are reflected in the other, so availability is always accurate.</w:t>
      </w:r>
    </w:p>
    <w:p>
      <w:pPr>
        <w:pStyle w:val="ListBullet"/>
      </w:pPr>
      <w:r>
        <w:rPr>
          <w:sz w:val="22"/>
        </w:rPr>
        <w:t>Fine‑grained sync rules so you control what is shared (busy‑only, limited details, or full details).</w:t>
      </w:r>
    </w:p>
    <w:p>
      <w:pPr>
        <w:pStyle w:val="ListBullet"/>
      </w:pPr>
      <w:r>
        <w:rPr>
          <w:sz w:val="22"/>
        </w:rPr>
        <w:t>Works natively in Outlook Scheduling Assistant and Google “Find a Time” — no extra tools or links.</w:t>
      </w:r>
    </w:p>
    <w:p>
      <w:pPr>
        <w:pStyle w:val="ListBullet"/>
      </w:pPr>
      <w:r>
        <w:rPr>
          <w:sz w:val="22"/>
        </w:rPr>
        <w:t>Supports both individual power users and large enterprise groups with centralized admin.</w:t>
      </w:r>
    </w:p>
    <w:p/>
    <w:p>
      <w:r>
        <w:rPr>
          <w:b/>
          <w:color w:val="165FB1"/>
          <w:sz w:val="28"/>
        </w:rPr>
        <w:t>M&amp;A‑Specific Use Cases</w:t>
      </w:r>
    </w:p>
    <w:p>
      <w:pPr>
        <w:pStyle w:val="ListBullet"/>
      </w:pPr>
      <w:r>
        <w:rPr>
          <w:sz w:val="22"/>
        </w:rPr>
        <w:t>Day 1 Integration Management Office (IMO): cross‑functional leaders instantly see each other’s calendars.</w:t>
      </w:r>
    </w:p>
    <w:p>
      <w:pPr>
        <w:pStyle w:val="ListBullet"/>
      </w:pPr>
      <w:r>
        <w:rPr>
          <w:sz w:val="22"/>
        </w:rPr>
        <w:t>Cross‑company project teams (IT, HR, Finance, Legal, Compliance) align quickly without tenant changes.</w:t>
      </w:r>
    </w:p>
    <w:p>
      <w:pPr>
        <w:pStyle w:val="ListBullet"/>
      </w:pPr>
      <w:r>
        <w:rPr>
          <w:sz w:val="22"/>
        </w:rPr>
        <w:t>Regulated or ring‑fenced entities stay on their own tenant while still being easy to schedule with.</w:t>
      </w:r>
    </w:p>
    <w:p>
      <w:pPr>
        <w:pStyle w:val="ListBullet"/>
      </w:pPr>
      <w:r>
        <w:rPr>
          <w:sz w:val="22"/>
        </w:rPr>
        <w:t>PE roll‑up and platform plays: multiple portfolio companies share availability without a full IT consolidation.</w:t>
      </w:r>
    </w:p>
    <w:p>
      <w:pPr>
        <w:pStyle w:val="ListBullet"/>
      </w:pPr>
      <w:r>
        <w:rPr>
          <w:sz w:val="22"/>
        </w:rPr>
        <w:t>Carve‑outs and transitional services: give temporary teams reliable scheduling while structures are in flux.</w:t>
      </w:r>
    </w:p>
    <w:p/>
    <w:p>
      <w:r>
        <w:rPr>
          <w:b/>
          <w:color w:val="165FB1"/>
          <w:sz w:val="28"/>
        </w:rPr>
        <w:t>Outcomes &amp; ROI</w:t>
      </w:r>
    </w:p>
    <w:p>
      <w:pPr>
        <w:pStyle w:val="ListBullet"/>
      </w:pPr>
      <w:r>
        <w:rPr>
          <w:sz w:val="22"/>
        </w:rPr>
        <w:t>Enable real collaboration in hours or days instead of weeks of calendar workarounds.</w:t>
      </w:r>
    </w:p>
    <w:p>
      <w:pPr>
        <w:pStyle w:val="ListBullet"/>
      </w:pPr>
      <w:r>
        <w:rPr>
          <w:sz w:val="22"/>
        </w:rPr>
        <w:t>Reduce meeting “ping‑pong” and double‑bookings between acquiring and acquired teams.</w:t>
      </w:r>
    </w:p>
    <w:p>
      <w:pPr>
        <w:pStyle w:val="ListBullet"/>
      </w:pPr>
      <w:r>
        <w:rPr>
          <w:sz w:val="22"/>
        </w:rPr>
        <w:t>Avoid or defer costly calendar migrations and complex tenant‑level configurations.</w:t>
      </w:r>
    </w:p>
    <w:p>
      <w:pPr>
        <w:pStyle w:val="ListBullet"/>
      </w:pPr>
      <w:r>
        <w:rPr>
          <w:sz w:val="22"/>
        </w:rPr>
        <w:t>Lower risk of shadow IT (unauthorized scheduling tools) and inconsistent availability data.</w:t>
      </w:r>
    </w:p>
    <w:p>
      <w:pPr>
        <w:pStyle w:val="ListBullet"/>
      </w:pPr>
      <w:r>
        <w:rPr>
          <w:sz w:val="22"/>
        </w:rPr>
        <w:t>Improve the Day 1‑Day 100 experience for key leaders and integration teams.</w:t>
      </w:r>
    </w:p>
    <w:p/>
    <w:p>
      <w:r>
        <w:rPr>
          <w:b/>
          <w:color w:val="165FB1"/>
          <w:sz w:val="28"/>
        </w:rPr>
        <w:t>Quick Facts</w:t>
      </w:r>
    </w:p>
    <w:p>
      <w:pPr>
        <w:pStyle w:val="ListBullet"/>
      </w:pPr>
      <w:r>
        <w:rPr>
          <w:sz w:val="22"/>
        </w:rPr>
        <w:t>Supports Google Calendar, Microsoft 365 Business, Outlook.com, and iCloud, plus many .ics sources.</w:t>
      </w:r>
    </w:p>
    <w:p>
      <w:pPr>
        <w:pStyle w:val="ListBullet"/>
      </w:pPr>
      <w:r>
        <w:rPr>
          <w:sz w:val="22"/>
        </w:rPr>
        <w:t>Syncs are typically real‑time (within 1–2 minutes for Google/Microsoft; 5–10 minutes for iCloud/.ics).</w:t>
      </w:r>
    </w:p>
    <w:p>
      <w:pPr>
        <w:pStyle w:val="ListBullet"/>
      </w:pPr>
      <w:r>
        <w:rPr>
          <w:sz w:val="22"/>
        </w:rPr>
        <w:t>Group plans enable centralized billing, transferable licenses, and admin‑driven setup for users.</w:t>
      </w:r>
    </w:p>
    <w:p>
      <w:pPr>
        <w:pStyle w:val="ListBullet"/>
      </w:pPr>
      <w:r>
        <w:rPr>
          <w:sz w:val="22"/>
        </w:rPr>
        <w:t>Flexible sync rules let you decide exactly what is visible across organizations.</w:t>
      </w:r>
    </w:p>
    <w:p>
      <w:pPr>
        <w:pStyle w:val="ListBullet"/>
      </w:pPr>
      <w:r>
        <w:rPr>
          <w:sz w:val="22"/>
        </w:rPr>
        <w:t>AI Scheduling Assistant option for email‑based scheduling without links or extra steps.</w:t>
      </w:r>
    </w:p>
    <w:p/>
    <w:p>
      <w:r>
        <w:rPr>
          <w:b/>
          <w:color w:val="165FB1"/>
          <w:sz w:val="28"/>
        </w:rPr>
        <w:t>Security &amp; Compliance</w:t>
      </w:r>
    </w:p>
    <w:p>
      <w:pPr>
        <w:pStyle w:val="ListBullet"/>
      </w:pPr>
      <w:r>
        <w:rPr>
          <w:sz w:val="22"/>
        </w:rPr>
        <w:t>Connects via secure OAuth2 — no password or credential storage.</w:t>
      </w:r>
    </w:p>
    <w:p>
      <w:pPr>
        <w:pStyle w:val="ListBullet"/>
      </w:pPr>
      <w:r>
        <w:rPr>
          <w:sz w:val="22"/>
        </w:rPr>
        <w:t>No storage or analysis of calendar event data beyond what is required to sync.</w:t>
      </w:r>
    </w:p>
    <w:p>
      <w:pPr>
        <w:pStyle w:val="ListBullet"/>
      </w:pPr>
      <w:r>
        <w:rPr>
          <w:sz w:val="22"/>
        </w:rPr>
        <w:t>Minimum‑access permissions: no email, files, or non‑calendar data access.</w:t>
      </w:r>
    </w:p>
    <w:p>
      <w:pPr>
        <w:pStyle w:val="ListBullet"/>
      </w:pPr>
      <w:r>
        <w:rPr>
          <w:sz w:val="22"/>
        </w:rPr>
        <w:t>Supports separation of accounts while sharing only the availability needed for scheduling.</w:t>
      </w:r>
    </w:p>
    <w:p>
      <w:pPr>
        <w:pStyle w:val="ListBullet"/>
      </w:pPr>
      <w:r>
        <w:rPr>
          <w:sz w:val="22"/>
        </w:rPr>
        <w:t>Designed with privacy‑sensitive use cases (pharma, financial services, government) in mind.</w:t>
      </w:r>
    </w:p>
    <w:p/>
    <w:p>
      <w:r>
        <w:rPr>
          <w:b/>
          <w:color w:val="165FB1"/>
          <w:sz w:val="28"/>
        </w:rPr>
        <w:t>Example Integration Scenario</w:t>
      </w:r>
    </w:p>
    <w:p>
      <w:r>
        <w:rPr>
          <w:sz w:val="22"/>
        </w:rPr>
        <w:t>A global enterprise completing an acquisition needs integration leaders across both companies to collaborate immediately, but email and calendar tenants will not be merged for several months. By deploying CalendarBridge for the integration team and key workstreams, both organizations gain real‑time availability visibility without changing domains or security policies. Integration meetings, design sessions, and governance forums can be scheduled in minutes instead of days, improving the pace and quality of post‑merger integration.</w:t>
      </w:r>
    </w:p>
    <w:p/>
    <w:p>
      <w:r>
        <w:rPr>
          <w:b/>
          <w:color w:val="165FB1"/>
          <w:sz w:val="28"/>
        </w:rPr>
        <w:t>Next Steps</w:t>
      </w:r>
    </w:p>
    <w:p>
      <w:r>
        <w:rPr>
          <w:sz w:val="22"/>
        </w:rPr>
        <w:t>Interested in using CalendarBridge for your next acquisition or merger? Contact us for a 15‑minute demo and an M&amp;A calendar readiness checklist tailored to your integration team.</w:t>
      </w:r>
    </w:p>
    <w:p/>
    <w:p>
      <w:r>
        <w:rPr>
          <w:b/>
        </w:rPr>
        <w:t xml:space="preserve">Contact: </w:t>
      </w:r>
      <w:r>
        <w:rPr>
          <w:i/>
        </w:rPr>
        <w:t>[Insert name / email / URL here]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