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94D24" w14:textId="24C9F3F4" w:rsidR="00C6648B" w:rsidRPr="00C26FEC" w:rsidRDefault="00741DB3" w:rsidP="00C26FEC">
      <w:pPr>
        <w:jc w:val="center"/>
      </w:pPr>
      <w:r w:rsidRPr="005245E5">
        <w:t>Infographic Design Information</w:t>
      </w:r>
      <w:r w:rsidR="00C26FEC">
        <w:br/>
      </w:r>
      <w:r w:rsidR="00C6648B" w:rsidRPr="005245E5">
        <w:rPr>
          <w:b w:val="0"/>
          <w:bCs w:val="0"/>
        </w:rPr>
        <w:t xml:space="preserve">For requests to submit to </w:t>
      </w:r>
      <w:proofErr w:type="spellStart"/>
      <w:r w:rsidR="00C6648B" w:rsidRPr="005245E5">
        <w:rPr>
          <w:b w:val="0"/>
          <w:bCs w:val="0"/>
        </w:rPr>
        <w:t>DesignCrowd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0773"/>
      </w:tblGrid>
      <w:tr w:rsidR="001C0E4A" w:rsidRPr="007F0E8A" w14:paraId="12E94C73" w14:textId="77777777" w:rsidTr="001C0E4A">
        <w:tc>
          <w:tcPr>
            <w:tcW w:w="3114" w:type="dxa"/>
          </w:tcPr>
          <w:p w14:paraId="2C5A477E" w14:textId="5484942F" w:rsidR="001C0E4A" w:rsidRPr="007F0E8A" w:rsidRDefault="001C0E4A" w:rsidP="00741DB3">
            <w:pPr>
              <w:rPr>
                <w:b w:val="0"/>
                <w:bCs w:val="0"/>
              </w:rPr>
            </w:pPr>
            <w:r w:rsidRPr="00AF7393">
              <w:t>Study information</w:t>
            </w:r>
          </w:p>
        </w:tc>
        <w:tc>
          <w:tcPr>
            <w:tcW w:w="10773" w:type="dxa"/>
          </w:tcPr>
          <w:p w14:paraId="1E757289" w14:textId="3EC9AD8E" w:rsidR="001C0E4A" w:rsidRPr="005245E5" w:rsidRDefault="001C0E4A" w:rsidP="00741DB3">
            <w:r>
              <w:t>Answer</w:t>
            </w:r>
          </w:p>
        </w:tc>
      </w:tr>
      <w:tr w:rsidR="001C0E4A" w:rsidRPr="007F0E8A" w14:paraId="2E9318BA" w14:textId="7856D22E" w:rsidTr="001C0E4A">
        <w:tc>
          <w:tcPr>
            <w:tcW w:w="3114" w:type="dxa"/>
          </w:tcPr>
          <w:p w14:paraId="6F30C5CA" w14:textId="4153613D" w:rsidR="001C0E4A" w:rsidRPr="007F0E8A" w:rsidRDefault="001C0E4A" w:rsidP="00741DB3">
            <w:pPr>
              <w:rPr>
                <w:b w:val="0"/>
                <w:bCs w:val="0"/>
              </w:rPr>
            </w:pPr>
            <w:r w:rsidRPr="007F0E8A">
              <w:rPr>
                <w:b w:val="0"/>
                <w:bCs w:val="0"/>
              </w:rPr>
              <w:t>Study title</w:t>
            </w:r>
          </w:p>
        </w:tc>
        <w:tc>
          <w:tcPr>
            <w:tcW w:w="10773" w:type="dxa"/>
          </w:tcPr>
          <w:p w14:paraId="3D20CE32" w14:textId="4101F667" w:rsidR="001C0E4A" w:rsidRPr="00BA6A6F" w:rsidRDefault="001C0E4A" w:rsidP="00741DB3">
            <w:pPr>
              <w:rPr>
                <w:b w:val="0"/>
                <w:bCs w:val="0"/>
              </w:rPr>
            </w:pPr>
            <w:proofErr w:type="spellStart"/>
            <w:r w:rsidRPr="00BA6A6F">
              <w:rPr>
                <w:b w:val="0"/>
                <w:bCs w:val="0"/>
              </w:rPr>
              <w:t>Woodcast</w:t>
            </w:r>
            <w:proofErr w:type="spellEnd"/>
            <w:r w:rsidRPr="00BA6A6F">
              <w:rPr>
                <w:b w:val="0"/>
                <w:bCs w:val="0"/>
              </w:rPr>
              <w:t xml:space="preserve"> versus standard casting material for the immobilization of nonoperatively treated distal radial fractures</w:t>
            </w:r>
          </w:p>
        </w:tc>
      </w:tr>
      <w:tr w:rsidR="001C0E4A" w:rsidRPr="007F0E8A" w14:paraId="0927F00A" w14:textId="02420270" w:rsidTr="001C0E4A">
        <w:tc>
          <w:tcPr>
            <w:tcW w:w="3114" w:type="dxa"/>
          </w:tcPr>
          <w:p w14:paraId="5C2852C3" w14:textId="0BA8E3DB" w:rsidR="001C0E4A" w:rsidRPr="007F0E8A" w:rsidRDefault="001C0E4A" w:rsidP="00741DB3">
            <w:pPr>
              <w:rPr>
                <w:b w:val="0"/>
                <w:bCs w:val="0"/>
              </w:rPr>
            </w:pPr>
            <w:r w:rsidRPr="007F0E8A">
              <w:rPr>
                <w:b w:val="0"/>
                <w:bCs w:val="0"/>
              </w:rPr>
              <w:t xml:space="preserve">Study acronym </w:t>
            </w:r>
          </w:p>
        </w:tc>
        <w:tc>
          <w:tcPr>
            <w:tcW w:w="10773" w:type="dxa"/>
          </w:tcPr>
          <w:p w14:paraId="11FBEFB7" w14:textId="52135608" w:rsidR="001C0E4A" w:rsidRPr="007F0E8A" w:rsidRDefault="001C0E4A" w:rsidP="00741DB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WOODCAST</w:t>
            </w:r>
          </w:p>
        </w:tc>
      </w:tr>
      <w:tr w:rsidR="001C0E4A" w:rsidRPr="007F0E8A" w14:paraId="75132A79" w14:textId="235A7E80" w:rsidTr="001C0E4A">
        <w:tc>
          <w:tcPr>
            <w:tcW w:w="3114" w:type="dxa"/>
          </w:tcPr>
          <w:p w14:paraId="5C3057B8" w14:textId="0E1A2ABC" w:rsidR="001C0E4A" w:rsidRPr="007F0E8A" w:rsidRDefault="001C0E4A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Headline</w:t>
            </w:r>
          </w:p>
        </w:tc>
        <w:tc>
          <w:tcPr>
            <w:tcW w:w="10773" w:type="dxa"/>
          </w:tcPr>
          <w:p w14:paraId="45A20E80" w14:textId="40EE3BBA" w:rsidR="001C0E4A" w:rsidRPr="007F0E8A" w:rsidRDefault="001C0E4A" w:rsidP="00486298">
            <w:pPr>
              <w:rPr>
                <w:b w:val="0"/>
                <w:bCs w:val="0"/>
              </w:rPr>
            </w:pPr>
            <w:r w:rsidRPr="00BA6A6F">
              <w:rPr>
                <w:b w:val="0"/>
                <w:bCs w:val="0"/>
              </w:rPr>
              <w:t>Feasibility of a Randomi</w:t>
            </w:r>
            <w:r>
              <w:rPr>
                <w:b w:val="0"/>
                <w:bCs w:val="0"/>
              </w:rPr>
              <w:t>s</w:t>
            </w:r>
            <w:r w:rsidRPr="00BA6A6F">
              <w:rPr>
                <w:b w:val="0"/>
                <w:bCs w:val="0"/>
              </w:rPr>
              <w:t xml:space="preserve">ed Controlled Trial Comparing </w:t>
            </w:r>
            <w:proofErr w:type="spellStart"/>
            <w:r w:rsidRPr="00BA6A6F">
              <w:rPr>
                <w:b w:val="0"/>
                <w:bCs w:val="0"/>
              </w:rPr>
              <w:t>Woodcast</w:t>
            </w:r>
            <w:proofErr w:type="spellEnd"/>
            <w:r w:rsidRPr="00BA6A6F">
              <w:rPr>
                <w:b w:val="0"/>
                <w:bCs w:val="0"/>
              </w:rPr>
              <w:t xml:space="preserve"> and Fibreglass Casts for Distal Radial Fractures</w:t>
            </w:r>
          </w:p>
        </w:tc>
      </w:tr>
      <w:tr w:rsidR="001C0E4A" w:rsidRPr="007F0E8A" w14:paraId="3B408C39" w14:textId="48E55B98" w:rsidTr="001C0E4A">
        <w:tc>
          <w:tcPr>
            <w:tcW w:w="3114" w:type="dxa"/>
          </w:tcPr>
          <w:p w14:paraId="7B516C53" w14:textId="5CABE732" w:rsidR="001C0E4A" w:rsidRPr="007F0E8A" w:rsidRDefault="001C0E4A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Study summary</w:t>
            </w:r>
          </w:p>
        </w:tc>
        <w:tc>
          <w:tcPr>
            <w:tcW w:w="10773" w:type="dxa"/>
          </w:tcPr>
          <w:p w14:paraId="7DB59C77" w14:textId="18B7A8AB" w:rsidR="001C0E4A" w:rsidRPr="007F0E8A" w:rsidRDefault="001C0E4A" w:rsidP="00486298">
            <w:pPr>
              <w:rPr>
                <w:b w:val="0"/>
                <w:bCs w:val="0"/>
              </w:rPr>
            </w:pPr>
            <w:r w:rsidRPr="00BA6A6F">
              <w:rPr>
                <w:b w:val="0"/>
                <w:bCs w:val="0"/>
              </w:rPr>
              <w:t xml:space="preserve">Distal radial fractures are the most common fractures in adults, typically managed with cast immobilization. This multicentre feasibility trial compared </w:t>
            </w:r>
            <w:proofErr w:type="spellStart"/>
            <w:r w:rsidRPr="00BA6A6F">
              <w:rPr>
                <w:b w:val="0"/>
                <w:bCs w:val="0"/>
              </w:rPr>
              <w:t>Woodcast</w:t>
            </w:r>
            <w:proofErr w:type="spellEnd"/>
            <w:r w:rsidRPr="00BA6A6F">
              <w:rPr>
                <w:b w:val="0"/>
                <w:bCs w:val="0"/>
              </w:rPr>
              <w:t>, a biodegradable alternative, with standard fibreglass casts. Over eight months, 883 patients were screened, 271 were eligible, and 120 were randomi</w:t>
            </w:r>
            <w:r>
              <w:rPr>
                <w:b w:val="0"/>
                <w:bCs w:val="0"/>
              </w:rPr>
              <w:t>s</w:t>
            </w:r>
            <w:r w:rsidRPr="00BA6A6F">
              <w:rPr>
                <w:b w:val="0"/>
                <w:bCs w:val="0"/>
              </w:rPr>
              <w:t xml:space="preserve">ed across four UK centres. Follow-up rates were high, and both interventions demonstrated similar clinical outcomes, safety profiles, and patient acceptability. </w:t>
            </w:r>
          </w:p>
        </w:tc>
      </w:tr>
      <w:tr w:rsidR="001C0E4A" w:rsidRPr="007F0E8A" w14:paraId="0F3F01DC" w14:textId="0FF61FD7" w:rsidTr="001C0E4A">
        <w:tc>
          <w:tcPr>
            <w:tcW w:w="3114" w:type="dxa"/>
          </w:tcPr>
          <w:p w14:paraId="36503E73" w14:textId="44D9621D" w:rsidR="001C0E4A" w:rsidRPr="007F0E8A" w:rsidRDefault="001C0E4A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Key messages/findings</w:t>
            </w:r>
          </w:p>
        </w:tc>
        <w:tc>
          <w:tcPr>
            <w:tcW w:w="10773" w:type="dxa"/>
          </w:tcPr>
          <w:p w14:paraId="3F789027" w14:textId="4FF83588" w:rsidR="001C0E4A" w:rsidRPr="007F0E8A" w:rsidRDefault="001C0E4A" w:rsidP="00486298">
            <w:pPr>
              <w:rPr>
                <w:b w:val="0"/>
                <w:bCs w:val="0"/>
              </w:rPr>
            </w:pPr>
            <w:r w:rsidRPr="00BA6A6F">
              <w:rPr>
                <w:b w:val="0"/>
                <w:bCs w:val="0"/>
              </w:rPr>
              <w:t xml:space="preserve">This feasibility trial showed that both </w:t>
            </w:r>
            <w:proofErr w:type="spellStart"/>
            <w:r w:rsidRPr="00BA6A6F">
              <w:rPr>
                <w:b w:val="0"/>
                <w:bCs w:val="0"/>
              </w:rPr>
              <w:t>Woodcast</w:t>
            </w:r>
            <w:proofErr w:type="spellEnd"/>
            <w:r w:rsidRPr="00BA6A6F">
              <w:rPr>
                <w:b w:val="0"/>
                <w:bCs w:val="0"/>
              </w:rPr>
              <w:t xml:space="preserve"> and fibreglass casts are safe, effective, and acceptable options for managing distal radial fractures. Recruitment and retention rates were high, with no serious adverse events reported, supporting the feasibility of a larger definitive trial. </w:t>
            </w:r>
            <w:proofErr w:type="spellStart"/>
            <w:r w:rsidRPr="00BA6A6F">
              <w:rPr>
                <w:b w:val="0"/>
                <w:bCs w:val="0"/>
              </w:rPr>
              <w:t>Woodcast</w:t>
            </w:r>
            <w:proofErr w:type="spellEnd"/>
            <w:r w:rsidRPr="00BA6A6F">
              <w:rPr>
                <w:b w:val="0"/>
                <w:bCs w:val="0"/>
              </w:rPr>
              <w:t>, as a biodegradable material, offers potential environmental benefits without compromising patient outcomes.</w:t>
            </w:r>
          </w:p>
        </w:tc>
      </w:tr>
      <w:tr w:rsidR="001C0E4A" w:rsidRPr="007F0E8A" w14:paraId="15073550" w14:textId="23E27CEB" w:rsidTr="001C0E4A">
        <w:trPr>
          <w:trHeight w:val="328"/>
        </w:trPr>
        <w:tc>
          <w:tcPr>
            <w:tcW w:w="3114" w:type="dxa"/>
          </w:tcPr>
          <w:p w14:paraId="7F3718A7" w14:textId="4B315B2F" w:rsidR="001C0E4A" w:rsidRPr="007F0E8A" w:rsidRDefault="001C0E4A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Eligibility criteria (if relevant)</w:t>
            </w:r>
          </w:p>
        </w:tc>
        <w:tc>
          <w:tcPr>
            <w:tcW w:w="10773" w:type="dxa"/>
          </w:tcPr>
          <w:p w14:paraId="29B68348" w14:textId="77777777" w:rsidR="001C0E4A" w:rsidRPr="001C0E4A" w:rsidRDefault="001C0E4A" w:rsidP="001C0E4A">
            <w:pPr>
              <w:rPr>
                <w:b w:val="0"/>
                <w:bCs w:val="0"/>
              </w:rPr>
            </w:pPr>
            <w:r w:rsidRPr="001C0E4A">
              <w:rPr>
                <w:b w:val="0"/>
                <w:bCs w:val="0"/>
              </w:rPr>
              <w:t>1. Sustained a fracture of the distal radius, which is defined as a fracture within or equal to 3 cm of the radio-carpal joint</w:t>
            </w:r>
          </w:p>
          <w:p w14:paraId="59D73107" w14:textId="77777777" w:rsidR="001C0E4A" w:rsidRPr="001C0E4A" w:rsidRDefault="001C0E4A" w:rsidP="001C0E4A">
            <w:pPr>
              <w:rPr>
                <w:b w:val="0"/>
                <w:bCs w:val="0"/>
              </w:rPr>
            </w:pPr>
            <w:r w:rsidRPr="001C0E4A">
              <w:rPr>
                <w:b w:val="0"/>
                <w:bCs w:val="0"/>
              </w:rPr>
              <w:t>2. Over the age of 16</w:t>
            </w:r>
          </w:p>
          <w:p w14:paraId="2F80CB83" w14:textId="77777777" w:rsidR="001C0E4A" w:rsidRPr="001C0E4A" w:rsidRDefault="001C0E4A" w:rsidP="001C0E4A">
            <w:pPr>
              <w:rPr>
                <w:b w:val="0"/>
                <w:bCs w:val="0"/>
              </w:rPr>
            </w:pPr>
            <w:r w:rsidRPr="001C0E4A">
              <w:rPr>
                <w:b w:val="0"/>
                <w:bCs w:val="0"/>
              </w:rPr>
              <w:t>3. Able to give informed consent</w:t>
            </w:r>
          </w:p>
          <w:p w14:paraId="7B0C1EA1" w14:textId="77777777" w:rsidR="001C0E4A" w:rsidRPr="001C0E4A" w:rsidRDefault="001C0E4A" w:rsidP="001C0E4A">
            <w:pPr>
              <w:rPr>
                <w:b w:val="0"/>
                <w:bCs w:val="0"/>
              </w:rPr>
            </w:pPr>
            <w:r w:rsidRPr="001C0E4A">
              <w:rPr>
                <w:b w:val="0"/>
                <w:bCs w:val="0"/>
              </w:rPr>
              <w:t>4. The treating outpatient clinician believes that they would not benefit from surgery in the form of further manipulation of the fracture under anaesthetic or the insertion of metalwork</w:t>
            </w:r>
          </w:p>
          <w:p w14:paraId="7FB9C6A9" w14:textId="1AFFEF9E" w:rsidR="001C0E4A" w:rsidRPr="007F0E8A" w:rsidRDefault="001C0E4A" w:rsidP="001C0E4A">
            <w:pPr>
              <w:rPr>
                <w:b w:val="0"/>
                <w:bCs w:val="0"/>
              </w:rPr>
            </w:pPr>
            <w:r w:rsidRPr="001C0E4A">
              <w:rPr>
                <w:b w:val="0"/>
                <w:bCs w:val="0"/>
              </w:rPr>
              <w:t>5. The patient is required to have a change of cast at the initial outpatient review</w:t>
            </w:r>
          </w:p>
        </w:tc>
      </w:tr>
      <w:tr w:rsidR="001C0E4A" w:rsidRPr="007F0E8A" w14:paraId="790F1439" w14:textId="03429DFE" w:rsidTr="001C0E4A">
        <w:tc>
          <w:tcPr>
            <w:tcW w:w="3114" w:type="dxa"/>
          </w:tcPr>
          <w:p w14:paraId="5094F18A" w14:textId="07AD467B" w:rsidR="001C0E4A" w:rsidRPr="007F0E8A" w:rsidRDefault="001C0E4A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Study details (if relevant)</w:t>
            </w:r>
          </w:p>
        </w:tc>
        <w:tc>
          <w:tcPr>
            <w:tcW w:w="10773" w:type="dxa"/>
          </w:tcPr>
          <w:p w14:paraId="036B5CFD" w14:textId="5F715C73" w:rsidR="001C0E4A" w:rsidRPr="00BA6A6F" w:rsidRDefault="001C0E4A" w:rsidP="00BA6A6F">
            <w:pPr>
              <w:rPr>
                <w:b w:val="0"/>
                <w:bCs w:val="0"/>
              </w:rPr>
            </w:pPr>
            <w:r w:rsidRPr="00BA6A6F">
              <w:rPr>
                <w:b w:val="0"/>
                <w:bCs w:val="0"/>
              </w:rPr>
              <w:t>Design: Multicentre, two-arm, open-label, parallel-group, randomized controlled feasibility trial.</w:t>
            </w:r>
          </w:p>
          <w:p w14:paraId="15ADB085" w14:textId="1AF49074" w:rsidR="001C0E4A" w:rsidRPr="00BA6A6F" w:rsidRDefault="001C0E4A" w:rsidP="00BA6A6F">
            <w:pPr>
              <w:rPr>
                <w:b w:val="0"/>
                <w:bCs w:val="0"/>
              </w:rPr>
            </w:pPr>
            <w:r w:rsidRPr="00BA6A6F">
              <w:rPr>
                <w:b w:val="0"/>
                <w:bCs w:val="0"/>
              </w:rPr>
              <w:t>Timeline: 8-month recruitment period.</w:t>
            </w:r>
          </w:p>
          <w:p w14:paraId="7D030CCD" w14:textId="435999E2" w:rsidR="001C0E4A" w:rsidRPr="007F0E8A" w:rsidRDefault="001C0E4A" w:rsidP="00BA6A6F">
            <w:pPr>
              <w:rPr>
                <w:b w:val="0"/>
                <w:bCs w:val="0"/>
              </w:rPr>
            </w:pPr>
            <w:r w:rsidRPr="00BA6A6F">
              <w:rPr>
                <w:b w:val="0"/>
                <w:bCs w:val="0"/>
              </w:rPr>
              <w:t>Sites: Conducted across four centres in the UK.</w:t>
            </w:r>
          </w:p>
        </w:tc>
      </w:tr>
      <w:tr w:rsidR="001C0E4A" w:rsidRPr="007F0E8A" w14:paraId="7CB63385" w14:textId="1DBBB25E" w:rsidTr="001C0E4A">
        <w:tc>
          <w:tcPr>
            <w:tcW w:w="3114" w:type="dxa"/>
          </w:tcPr>
          <w:p w14:paraId="5287C35F" w14:textId="4B4F161C" w:rsidR="001C0E4A" w:rsidRPr="007F0E8A" w:rsidRDefault="001C0E4A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Target audience</w:t>
            </w:r>
          </w:p>
        </w:tc>
        <w:tc>
          <w:tcPr>
            <w:tcW w:w="10773" w:type="dxa"/>
          </w:tcPr>
          <w:p w14:paraId="3D5EE64F" w14:textId="4EE0C1B8" w:rsidR="001C0E4A" w:rsidRPr="007F0E8A" w:rsidRDefault="001C0E4A" w:rsidP="00486298">
            <w:pPr>
              <w:rPr>
                <w:b w:val="0"/>
                <w:bCs w:val="0"/>
              </w:rPr>
            </w:pPr>
            <w:r w:rsidRPr="00BA6A6F">
              <w:rPr>
                <w:b w:val="0"/>
                <w:bCs w:val="0"/>
              </w:rPr>
              <w:t>Adults</w:t>
            </w:r>
            <w:r>
              <w:rPr>
                <w:b w:val="0"/>
                <w:bCs w:val="0"/>
              </w:rPr>
              <w:t xml:space="preserve"> (patients)</w:t>
            </w:r>
            <w:r w:rsidRPr="00BA6A6F">
              <w:rPr>
                <w:b w:val="0"/>
                <w:bCs w:val="0"/>
              </w:rPr>
              <w:t xml:space="preserve"> ≥16 years with a distal radius fracture.</w:t>
            </w:r>
          </w:p>
        </w:tc>
      </w:tr>
      <w:tr w:rsidR="001C0E4A" w:rsidRPr="007F0E8A" w14:paraId="1C8C7098" w14:textId="77777777" w:rsidTr="001C0E4A">
        <w:tc>
          <w:tcPr>
            <w:tcW w:w="3114" w:type="dxa"/>
          </w:tcPr>
          <w:p w14:paraId="32DC665A" w14:textId="2B236E4A" w:rsidR="001C0E4A" w:rsidRDefault="001C0E4A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Contact information</w:t>
            </w:r>
          </w:p>
        </w:tc>
        <w:tc>
          <w:tcPr>
            <w:tcW w:w="10773" w:type="dxa"/>
          </w:tcPr>
          <w:p w14:paraId="4C4F5CE4" w14:textId="6AF38B46" w:rsidR="001C0E4A" w:rsidRPr="007F0E8A" w:rsidRDefault="00A734E5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oxfordtrauma@ndorms.ox.ac.uk</w:t>
            </w:r>
          </w:p>
        </w:tc>
      </w:tr>
      <w:tr w:rsidR="001C0E4A" w:rsidRPr="007F0E8A" w14:paraId="3D14A98B" w14:textId="77777777" w:rsidTr="001C0E4A">
        <w:tc>
          <w:tcPr>
            <w:tcW w:w="3114" w:type="dxa"/>
          </w:tcPr>
          <w:p w14:paraId="0BB7C84A" w14:textId="325B019E" w:rsidR="001C0E4A" w:rsidRDefault="001C0E4A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Sponsor name</w:t>
            </w:r>
          </w:p>
        </w:tc>
        <w:tc>
          <w:tcPr>
            <w:tcW w:w="10773" w:type="dxa"/>
          </w:tcPr>
          <w:p w14:paraId="248B6878" w14:textId="554E36F2" w:rsidR="001C0E4A" w:rsidRPr="007F0E8A" w:rsidRDefault="001C0E4A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University of Oxford</w:t>
            </w:r>
          </w:p>
        </w:tc>
      </w:tr>
      <w:tr w:rsidR="001C0E4A" w:rsidRPr="007F0E8A" w14:paraId="045051F4" w14:textId="77777777" w:rsidTr="001C0E4A">
        <w:tc>
          <w:tcPr>
            <w:tcW w:w="3114" w:type="dxa"/>
          </w:tcPr>
          <w:p w14:paraId="5C2756C6" w14:textId="4960F865" w:rsidR="001C0E4A" w:rsidRDefault="001C0E4A" w:rsidP="0048629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Funder</w:t>
            </w:r>
          </w:p>
        </w:tc>
        <w:tc>
          <w:tcPr>
            <w:tcW w:w="10773" w:type="dxa"/>
          </w:tcPr>
          <w:p w14:paraId="6C38C4F7" w14:textId="127AED4A" w:rsidR="001C0E4A" w:rsidRPr="007F0E8A" w:rsidRDefault="001C0E4A" w:rsidP="00486298">
            <w:pPr>
              <w:rPr>
                <w:b w:val="0"/>
                <w:bCs w:val="0"/>
              </w:rPr>
            </w:pPr>
            <w:proofErr w:type="spellStart"/>
            <w:r>
              <w:rPr>
                <w:b w:val="0"/>
                <w:bCs w:val="0"/>
              </w:rPr>
              <w:t>Onbone</w:t>
            </w:r>
            <w:proofErr w:type="spellEnd"/>
            <w:r>
              <w:rPr>
                <w:b w:val="0"/>
                <w:bCs w:val="0"/>
              </w:rPr>
              <w:t xml:space="preserve"> Oy</w:t>
            </w:r>
          </w:p>
        </w:tc>
      </w:tr>
    </w:tbl>
    <w:p w14:paraId="2938C8C4" w14:textId="77777777" w:rsidR="00741DB3" w:rsidRDefault="00741DB3" w:rsidP="00741DB3">
      <w:pPr>
        <w:rPr>
          <w:b w:val="0"/>
          <w:bCs w:val="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10773"/>
      </w:tblGrid>
      <w:tr w:rsidR="00593A67" w:rsidRPr="007F0E8A" w14:paraId="6EE03CAD" w14:textId="77777777" w:rsidTr="00593A67">
        <w:tc>
          <w:tcPr>
            <w:tcW w:w="3114" w:type="dxa"/>
          </w:tcPr>
          <w:p w14:paraId="53F07641" w14:textId="1116E034" w:rsidR="00593A67" w:rsidRPr="007F0E8A" w:rsidRDefault="00593A67" w:rsidP="006E1C04">
            <w:pPr>
              <w:rPr>
                <w:b w:val="0"/>
                <w:bCs w:val="0"/>
              </w:rPr>
            </w:pPr>
            <w:r>
              <w:t>Design information/branding</w:t>
            </w:r>
          </w:p>
        </w:tc>
        <w:tc>
          <w:tcPr>
            <w:tcW w:w="10773" w:type="dxa"/>
          </w:tcPr>
          <w:p w14:paraId="4AF58616" w14:textId="77777777" w:rsidR="00593A67" w:rsidRPr="005245E5" w:rsidRDefault="00593A67" w:rsidP="006E1C04">
            <w:r>
              <w:t>Answer</w:t>
            </w:r>
          </w:p>
        </w:tc>
      </w:tr>
      <w:tr w:rsidR="00593A67" w:rsidRPr="007F0E8A" w14:paraId="375E4316" w14:textId="77777777" w:rsidTr="00593A67">
        <w:tc>
          <w:tcPr>
            <w:tcW w:w="3114" w:type="dxa"/>
          </w:tcPr>
          <w:p w14:paraId="2B823142" w14:textId="068B1930" w:rsidR="00593A67" w:rsidRPr="007F0E8A" w:rsidRDefault="00593A67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If not a WHiTE trial, what is the preferred colour scheme? </w:t>
            </w:r>
          </w:p>
        </w:tc>
        <w:tc>
          <w:tcPr>
            <w:tcW w:w="10773" w:type="dxa"/>
          </w:tcPr>
          <w:p w14:paraId="3CA8783C" w14:textId="6246A2E4" w:rsidR="00593A67" w:rsidRPr="007F0E8A" w:rsidRDefault="00593A67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No preference – clean, professional look but we are open to different colour schemes. </w:t>
            </w:r>
          </w:p>
        </w:tc>
      </w:tr>
      <w:tr w:rsidR="00593A67" w:rsidRPr="007F0E8A" w14:paraId="778D4059" w14:textId="77777777" w:rsidTr="00593A67">
        <w:tc>
          <w:tcPr>
            <w:tcW w:w="3114" w:type="dxa"/>
          </w:tcPr>
          <w:p w14:paraId="36408766" w14:textId="26052C27" w:rsidR="00593A67" w:rsidRPr="007F0E8A" w:rsidRDefault="00593A67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Style and design preferences</w:t>
            </w:r>
          </w:p>
        </w:tc>
        <w:tc>
          <w:tcPr>
            <w:tcW w:w="10773" w:type="dxa"/>
          </w:tcPr>
          <w:p w14:paraId="61DA83DB" w14:textId="28A0A70E" w:rsidR="00593A67" w:rsidRDefault="00593A67" w:rsidP="006E1C0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Should be clean, professional and approachable to both the public, and clinicians. </w:t>
            </w:r>
          </w:p>
          <w:p w14:paraId="649716D0" w14:textId="77777777" w:rsidR="00593A67" w:rsidRPr="007F0E8A" w:rsidRDefault="00593A67" w:rsidP="006E1C04">
            <w:pPr>
              <w:rPr>
                <w:b w:val="0"/>
                <w:bCs w:val="0"/>
              </w:rPr>
            </w:pPr>
          </w:p>
        </w:tc>
      </w:tr>
    </w:tbl>
    <w:p w14:paraId="716EB502" w14:textId="1DFB4274" w:rsidR="0081582F" w:rsidRPr="0081582F" w:rsidRDefault="00A12D0F" w:rsidP="00741DB3">
      <w:r>
        <w:br/>
      </w:r>
      <w:r w:rsidR="0081582F">
        <w:t xml:space="preserve">NB the following logos will usually need to be included: </w:t>
      </w:r>
      <w:r w:rsidR="003532DE">
        <w:t xml:space="preserve">trial logo, </w:t>
      </w:r>
      <w:r w:rsidR="003A1C81">
        <w:t>Oxford Trauma and Emergency Care, NDORMS (if applicable), NIHR (if NIHR-funded), University of Oxford (if applicable), Sponsor/NHS Trust (if applicable)</w:t>
      </w:r>
    </w:p>
    <w:sectPr w:rsidR="0081582F" w:rsidRPr="0081582F" w:rsidSect="00A12D0F">
      <w:headerReference w:type="default" r:id="rId9"/>
      <w:footerReference w:type="default" r:id="rId10"/>
      <w:pgSz w:w="16838" w:h="11906" w:orient="landscape"/>
      <w:pgMar w:top="1440" w:right="1440" w:bottom="993" w:left="144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5A7B8" w14:textId="77777777" w:rsidR="00B872A8" w:rsidRDefault="00B872A8" w:rsidP="007D7480">
      <w:pPr>
        <w:spacing w:after="0" w:line="240" w:lineRule="auto"/>
      </w:pPr>
      <w:r>
        <w:separator/>
      </w:r>
    </w:p>
  </w:endnote>
  <w:endnote w:type="continuationSeparator" w:id="0">
    <w:p w14:paraId="15519A09" w14:textId="77777777" w:rsidR="00B872A8" w:rsidRDefault="00B872A8" w:rsidP="007D7480">
      <w:pPr>
        <w:spacing w:after="0" w:line="240" w:lineRule="auto"/>
      </w:pPr>
      <w:r>
        <w:continuationSeparator/>
      </w:r>
    </w:p>
  </w:endnote>
  <w:endnote w:type="continuationNotice" w:id="1">
    <w:p w14:paraId="69425ADD" w14:textId="77777777" w:rsidR="00B872A8" w:rsidRDefault="00B872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36895" w14:textId="5254BBF8" w:rsidR="007D7480" w:rsidRDefault="007D7480" w:rsidP="00962A74">
    <w:pPr>
      <w:pStyle w:val="Footer"/>
      <w:ind w:left="-1134"/>
      <w:jc w:val="center"/>
    </w:pPr>
    <w:r>
      <w:t>Infographic</w:t>
    </w:r>
    <w:r w:rsidR="00962A74">
      <w:t xml:space="preserve"> </w:t>
    </w:r>
    <w:r>
      <w:t>Design</w:t>
    </w:r>
    <w:r w:rsidR="00962A74">
      <w:t xml:space="preserve"> </w:t>
    </w:r>
    <w:r>
      <w:t>Information</w:t>
    </w:r>
    <w:r w:rsidR="00962A74">
      <w:tab/>
    </w:r>
    <w:r w:rsidR="00962A74">
      <w:tab/>
      <w:t xml:space="preserve">   Last updated </w:t>
    </w:r>
    <w:r w:rsidR="000E63A8">
      <w:t>Aug</w:t>
    </w:r>
    <w: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4716E" w14:textId="77777777" w:rsidR="00B872A8" w:rsidRDefault="00B872A8" w:rsidP="007D7480">
      <w:pPr>
        <w:spacing w:after="0" w:line="240" w:lineRule="auto"/>
      </w:pPr>
      <w:r>
        <w:separator/>
      </w:r>
    </w:p>
  </w:footnote>
  <w:footnote w:type="continuationSeparator" w:id="0">
    <w:p w14:paraId="563DB325" w14:textId="77777777" w:rsidR="00B872A8" w:rsidRDefault="00B872A8" w:rsidP="007D7480">
      <w:pPr>
        <w:spacing w:after="0" w:line="240" w:lineRule="auto"/>
      </w:pPr>
      <w:r>
        <w:continuationSeparator/>
      </w:r>
    </w:p>
  </w:footnote>
  <w:footnote w:type="continuationNotice" w:id="1">
    <w:p w14:paraId="7EF1FA14" w14:textId="77777777" w:rsidR="00B872A8" w:rsidRDefault="00B872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3FE01" w14:textId="7033FAE6" w:rsidR="007D7480" w:rsidRDefault="007D7480" w:rsidP="007D7480">
    <w:pPr>
      <w:pStyle w:val="NormalWe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FFBC9A" wp14:editId="08257559">
          <wp:simplePos x="0" y="0"/>
          <wp:positionH relativeFrom="margin">
            <wp:align>center</wp:align>
          </wp:positionH>
          <wp:positionV relativeFrom="paragraph">
            <wp:posOffset>-163830</wp:posOffset>
          </wp:positionV>
          <wp:extent cx="5731510" cy="494665"/>
          <wp:effectExtent l="0" t="0" r="2540" b="635"/>
          <wp:wrapSquare wrapText="bothSides"/>
          <wp:docPr id="165491330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80"/>
    <w:rsid w:val="000E63A8"/>
    <w:rsid w:val="001C0E4A"/>
    <w:rsid w:val="001E3272"/>
    <w:rsid w:val="002F36FC"/>
    <w:rsid w:val="002F689C"/>
    <w:rsid w:val="003532DE"/>
    <w:rsid w:val="00393DDE"/>
    <w:rsid w:val="003A1C81"/>
    <w:rsid w:val="003E2A83"/>
    <w:rsid w:val="00401CA7"/>
    <w:rsid w:val="00401E24"/>
    <w:rsid w:val="00486298"/>
    <w:rsid w:val="005205CA"/>
    <w:rsid w:val="005245E5"/>
    <w:rsid w:val="00593A67"/>
    <w:rsid w:val="0066001F"/>
    <w:rsid w:val="00695D47"/>
    <w:rsid w:val="00741DB3"/>
    <w:rsid w:val="007D7480"/>
    <w:rsid w:val="007F0E8A"/>
    <w:rsid w:val="0081582F"/>
    <w:rsid w:val="00883C40"/>
    <w:rsid w:val="00962A74"/>
    <w:rsid w:val="00966EDA"/>
    <w:rsid w:val="00976872"/>
    <w:rsid w:val="00A12D0F"/>
    <w:rsid w:val="00A166F9"/>
    <w:rsid w:val="00A734E5"/>
    <w:rsid w:val="00AB60C2"/>
    <w:rsid w:val="00AF7393"/>
    <w:rsid w:val="00B32890"/>
    <w:rsid w:val="00B872A8"/>
    <w:rsid w:val="00BA6A6F"/>
    <w:rsid w:val="00C26FEC"/>
    <w:rsid w:val="00C6648B"/>
    <w:rsid w:val="00D15DDE"/>
    <w:rsid w:val="00D76EE1"/>
    <w:rsid w:val="00DF65F2"/>
    <w:rsid w:val="00E317CD"/>
    <w:rsid w:val="00E7260E"/>
    <w:rsid w:val="00E95974"/>
    <w:rsid w:val="00F2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660958"/>
  <w15:chartTrackingRefBased/>
  <w15:docId w15:val="{7B5D9241-94F9-49C7-B30C-7F42D4AC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b/>
        <w:bCs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74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74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4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74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74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74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74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74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74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4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74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74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748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748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74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74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74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74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74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74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74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74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74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74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74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74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74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748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7480"/>
    <w:rPr>
      <w:b w:val="0"/>
      <w:bCs w:val="0"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D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480"/>
  </w:style>
  <w:style w:type="paragraph" w:styleId="Footer">
    <w:name w:val="footer"/>
    <w:basedOn w:val="Normal"/>
    <w:link w:val="FooterChar"/>
    <w:uiPriority w:val="99"/>
    <w:unhideWhenUsed/>
    <w:rsid w:val="007D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480"/>
  </w:style>
  <w:style w:type="paragraph" w:styleId="NormalWeb">
    <w:name w:val="Normal (Web)"/>
    <w:basedOn w:val="Normal"/>
    <w:uiPriority w:val="99"/>
    <w:unhideWhenUsed/>
    <w:rsid w:val="007D7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table" w:styleId="TableGrid">
    <w:name w:val="Table Grid"/>
    <w:basedOn w:val="TableNormal"/>
    <w:uiPriority w:val="39"/>
    <w:rsid w:val="00DF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A6A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6A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6A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6A6F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6A6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69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0236549DF2CE438F3834698861A11A" ma:contentTypeVersion="16" ma:contentTypeDescription="Create a new document." ma:contentTypeScope="" ma:versionID="f456e28e3c3680fb5a2e18233eb139b3">
  <xsd:schema xmlns:xsd="http://www.w3.org/2001/XMLSchema" xmlns:xs="http://www.w3.org/2001/XMLSchema" xmlns:p="http://schemas.microsoft.com/office/2006/metadata/properties" xmlns:ns2="87b55ff9-0c83-43e2-b253-ab2ed4cb0285" xmlns:ns3="9f9ffdd9-42e1-4d45-aa85-adfb6d859571" targetNamespace="http://schemas.microsoft.com/office/2006/metadata/properties" ma:root="true" ma:fieldsID="1dc13796aa305ffeb8eb8598cb161211" ns2:_="" ns3:_="">
    <xsd:import namespace="87b55ff9-0c83-43e2-b253-ab2ed4cb0285"/>
    <xsd:import namespace="9f9ffdd9-42e1-4d45-aa85-adfb6d859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55ff9-0c83-43e2-b253-ab2ed4cb0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9ffdd9-42e1-4d45-aa85-adfb6d859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d727a59-f031-4f22-8f97-3262e65c7fbb}" ma:internalName="TaxCatchAll" ma:showField="CatchAllData" ma:web="9f9ffdd9-42e1-4d45-aa85-adfb6d8595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9ffdd9-42e1-4d45-aa85-adfb6d859571" xsi:nil="true"/>
    <lcf76f155ced4ddcb4097134ff3c332f xmlns="87b55ff9-0c83-43e2-b253-ab2ed4cb028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8AA544-C683-4DA8-A01E-064D5D823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b55ff9-0c83-43e2-b253-ab2ed4cb0285"/>
    <ds:schemaRef ds:uri="9f9ffdd9-42e1-4d45-aa85-adfb6d859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8273DD-3C7D-4D47-A287-BA923D0B15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84B37-77B1-4B8C-BE35-CBDAD8131AA4}">
  <ds:schemaRefs>
    <ds:schemaRef ds:uri="http://schemas.microsoft.com/office/2006/metadata/properties"/>
    <ds:schemaRef ds:uri="http://schemas.microsoft.com/office/infopath/2007/PartnerControls"/>
    <ds:schemaRef ds:uri="9f9ffdd9-42e1-4d45-aa85-adfb6d859571"/>
    <ds:schemaRef ds:uri="87b55ff9-0c83-43e2-b253-ab2ed4cb02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Ryan-Phillips</dc:creator>
  <cp:keywords/>
  <dc:description/>
  <cp:lastModifiedBy>Jessica Ryan-Phillips</cp:lastModifiedBy>
  <cp:revision>5</cp:revision>
  <dcterms:created xsi:type="dcterms:W3CDTF">2025-09-29T15:11:00Z</dcterms:created>
  <dcterms:modified xsi:type="dcterms:W3CDTF">2025-09-29T15:15:00Z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0x0101005C0236549DF2CE438F3834698861A11A</vt:lpwstr>
  </property>
  <property fmtid="{D5CDD505-2E9C-101B-9397-08002B2CF9AE}" pid="3" name="MediaServiceImageTags">
    <vt:lpwstr/>
  </property>
</Properties>
</file>