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left"/>
      </w:pPr>
      <w:r>
        <w:t>AVEX Series – High-Performance Extruders for Large-Scale Thermoplastic 3D Printing</w:t>
      </w:r>
    </w:p>
    <w:p>
      <w:pPr>
        <w:pStyle w:val="Heading1"/>
      </w:pPr>
      <w:r>
        <w:t>Executive Summary</w:t>
      </w:r>
    </w:p>
    <w:p>
      <w:r>
        <w:t>The AVEX Series (AVEX15, AVEX20, AVEX32) comprises industrial extruders engineered for large-scale thermoplastic 3D printing. Benchmarked with PETG +30% GF, AVEX delivers reliable, high-output performance up to 40 kg/h, with printing temperatures reaching 450 °C. As an official KUKA System Partner and technology partner of ENCY, Ai Build, and Adaxis, Avenco integrates robust hardware with advanced robotic CAM and AI-driven optimization workflows.</w:t>
      </w:r>
    </w:p>
    <w:p>
      <w:pPr>
        <w:pStyle w:val="Heading1"/>
      </w:pPr>
      <w:r>
        <w:t>About Avenco</w:t>
      </w:r>
    </w:p>
    <w:p>
      <w:r>
        <w:t>Avenco Robotics &amp; Automation is a global engineering company specializing in robotic systems for additive manufacturing, milling, and automation. With exports to 40+ countries across 6 continents, Avenco delivers solutions trusted by leaders in construction, marine, automotive, and manufacturing. Partnerships include KUKA (Official System Partner), ENCY, Ai Build, and Adaxis.</w:t>
      </w:r>
    </w:p>
    <w:p>
      <w:pPr>
        <w:pStyle w:val="Heading1"/>
      </w:pPr>
      <w:r>
        <w:t>Sectors Served</w:t>
      </w:r>
    </w:p>
    <w:p>
      <w:pPr>
        <w:pStyle w:val="ListBullet"/>
      </w:pPr>
      <w:r>
        <w:t>Defense: rapid prototyping of housings and enclosures, low-volume tooling, jigs &amp; fixtures, composite mold masters (non-ITAR production support).</w:t>
      </w:r>
    </w:p>
    <w:p>
      <w:pPr>
        <w:pStyle w:val="ListBullet"/>
      </w:pPr>
      <w:r>
        <w:t>Aerospace: layup tools, vacuum form tools, drill jigs, non-flight composite tooling, aerodynamic mockups and form/fit prototypes.</w:t>
      </w:r>
    </w:p>
    <w:p>
      <w:pPr>
        <w:pStyle w:val="ListBullet"/>
      </w:pPr>
      <w:r>
        <w:t>Marine: hull sections, fairings, cores, custom molds; corrosion-resistant materials for marine environments.</w:t>
      </w:r>
    </w:p>
    <w:p>
      <w:pPr>
        <w:pStyle w:val="ListBullet"/>
      </w:pPr>
      <w:r>
        <w:t>Furniture: large sculptural shells, ergonomic forms, upholstery molds, custom fixtures for production lines.</w:t>
      </w:r>
    </w:p>
    <w:p>
      <w:pPr>
        <w:pStyle w:val="ListBullet"/>
      </w:pPr>
      <w:r>
        <w:t>Interior Design: parametric panels, bespoke décor, lighting housings, architectural elements with complex geometry.</w:t>
      </w:r>
    </w:p>
    <w:p>
      <w:pPr>
        <w:pStyle w:val="ListBullet"/>
      </w:pPr>
      <w:r>
        <w:t>Automotive: prototype body panels, bumpers, fixtures, composite tooling, assembly aids.</w:t>
      </w:r>
    </w:p>
    <w:p>
      <w:pPr>
        <w:pStyle w:val="ListBullet"/>
      </w:pPr>
      <w:r>
        <w:t>Construction/Architecture: façade panels, molds for casting, large-format functional components.</w:t>
      </w:r>
    </w:p>
    <w:p>
      <w:pPr>
        <w:pStyle w:val="Heading1"/>
      </w:pPr>
      <w:r>
        <w:t>AVEX Series Overview</w:t>
      </w:r>
    </w:p>
    <w:p>
      <w:r>
        <w:t>AVEX extruders are designed for continuous, high-throughput production of large-format parts using reinforced thermoplastics. Each model includes multi-zone heating, reinforced-polymer-ready screw/barrel geometry, and interfaces for seamless robotic integration.</w:t>
      </w:r>
    </w:p>
    <w:p>
      <w:pPr>
        <w:pStyle w:val="Heading2"/>
      </w:pPr>
      <w:r>
        <w:t>Product Range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Model</w:t>
            </w:r>
          </w:p>
        </w:tc>
        <w:tc>
          <w:tcPr>
            <w:tcW w:type="dxa" w:w="1440"/>
          </w:tcPr>
          <w:p>
            <w:r>
              <w:t>Screw Diameter</w:t>
            </w:r>
          </w:p>
        </w:tc>
        <w:tc>
          <w:tcPr>
            <w:tcW w:type="dxa" w:w="1440"/>
          </w:tcPr>
          <w:p>
            <w:r>
              <w:t>Output Capacity (PETG +30% GF)</w:t>
            </w:r>
          </w:p>
        </w:tc>
        <w:tc>
          <w:tcPr>
            <w:tcW w:type="dxa" w:w="1440"/>
          </w:tcPr>
          <w:p>
            <w:r>
              <w:t>Heating Zones</w:t>
            </w:r>
          </w:p>
        </w:tc>
        <w:tc>
          <w:tcPr>
            <w:tcW w:type="dxa" w:w="1440"/>
          </w:tcPr>
          <w:p>
            <w:r>
              <w:t>Max Temperature</w:t>
            </w:r>
          </w:p>
        </w:tc>
        <w:tc>
          <w:tcPr>
            <w:tcW w:type="dxa" w:w="1440"/>
          </w:tcPr>
          <w:p>
            <w:r>
              <w:t>Primary Use Cases</w:t>
            </w:r>
          </w:p>
        </w:tc>
      </w:tr>
      <w:tr>
        <w:tc>
          <w:tcPr>
            <w:tcW w:type="dxa" w:w="1440"/>
          </w:tcPr>
          <w:p>
            <w:r>
              <w:t>AVEX15</w:t>
            </w:r>
          </w:p>
        </w:tc>
        <w:tc>
          <w:tcPr>
            <w:tcW w:type="dxa" w:w="1440"/>
          </w:tcPr>
          <w:p>
            <w:r>
              <w:t>25 mm</w:t>
            </w:r>
          </w:p>
        </w:tc>
        <w:tc>
          <w:tcPr>
            <w:tcW w:type="dxa" w:w="1440"/>
          </w:tcPr>
          <w:p>
            <w:r>
              <w:t>15 kg/h</w:t>
            </w:r>
          </w:p>
        </w:tc>
        <w:tc>
          <w:tcPr>
            <w:tcW w:type="dxa" w:w="1440"/>
          </w:tcPr>
          <w:p>
            <w:r>
              <w:t>4</w:t>
            </w:r>
          </w:p>
        </w:tc>
        <w:tc>
          <w:tcPr>
            <w:tcW w:type="dxa" w:w="1440"/>
          </w:tcPr>
          <w:p>
            <w:r>
              <w:t>450 °C</w:t>
            </w:r>
          </w:p>
        </w:tc>
        <w:tc>
          <w:tcPr>
            <w:tcW w:type="dxa" w:w="1440"/>
          </w:tcPr>
          <w:p>
            <w:r>
              <w:t>R&amp;D labs, universities, mid-size prototypes</w:t>
            </w:r>
          </w:p>
        </w:tc>
      </w:tr>
      <w:tr>
        <w:tc>
          <w:tcPr>
            <w:tcW w:type="dxa" w:w="1440"/>
          </w:tcPr>
          <w:p>
            <w:r>
              <w:t>AVEX20</w:t>
            </w:r>
          </w:p>
        </w:tc>
        <w:tc>
          <w:tcPr>
            <w:tcW w:type="dxa" w:w="1440"/>
          </w:tcPr>
          <w:p>
            <w:r>
              <w:t>25 mm</w:t>
            </w:r>
          </w:p>
        </w:tc>
        <w:tc>
          <w:tcPr>
            <w:tcW w:type="dxa" w:w="1440"/>
          </w:tcPr>
          <w:p>
            <w:r>
              <w:t>20 kg/h</w:t>
            </w:r>
          </w:p>
        </w:tc>
        <w:tc>
          <w:tcPr>
            <w:tcW w:type="dxa" w:w="1440"/>
          </w:tcPr>
          <w:p>
            <w:r>
              <w:t>4</w:t>
            </w:r>
          </w:p>
        </w:tc>
        <w:tc>
          <w:tcPr>
            <w:tcW w:type="dxa" w:w="1440"/>
          </w:tcPr>
          <w:p>
            <w:r>
              <w:t>450 °C</w:t>
            </w:r>
          </w:p>
        </w:tc>
        <w:tc>
          <w:tcPr>
            <w:tcW w:type="dxa" w:w="1440"/>
          </w:tcPr>
          <w:p>
            <w:r>
              <w:t>Industrial prototyping, tooling &amp; molds</w:t>
            </w:r>
          </w:p>
        </w:tc>
      </w:tr>
      <w:tr>
        <w:tc>
          <w:tcPr>
            <w:tcW w:type="dxa" w:w="1440"/>
          </w:tcPr>
          <w:p>
            <w:r>
              <w:t>AVEX32</w:t>
            </w:r>
          </w:p>
        </w:tc>
        <w:tc>
          <w:tcPr>
            <w:tcW w:type="dxa" w:w="1440"/>
          </w:tcPr>
          <w:p>
            <w:r>
              <w:t>35 mm</w:t>
            </w:r>
          </w:p>
        </w:tc>
        <w:tc>
          <w:tcPr>
            <w:tcW w:type="dxa" w:w="1440"/>
          </w:tcPr>
          <w:p>
            <w:r>
              <w:t>40 kg/h</w:t>
            </w:r>
          </w:p>
        </w:tc>
        <w:tc>
          <w:tcPr>
            <w:tcW w:type="dxa" w:w="1440"/>
          </w:tcPr>
          <w:p>
            <w:r>
              <w:t>4</w:t>
            </w:r>
          </w:p>
        </w:tc>
        <w:tc>
          <w:tcPr>
            <w:tcW w:type="dxa" w:w="1440"/>
          </w:tcPr>
          <w:p>
            <w:r>
              <w:t>450 °C</w:t>
            </w:r>
          </w:p>
        </w:tc>
        <w:tc>
          <w:tcPr>
            <w:tcW w:type="dxa" w:w="1440"/>
          </w:tcPr>
          <w:p>
            <w:r>
              <w:t>Heavy-duty production, large structural parts</w:t>
            </w:r>
          </w:p>
        </w:tc>
      </w:tr>
    </w:tbl>
    <w:p>
      <w:pPr>
        <w:pStyle w:val="Heading2"/>
      </w:pPr>
      <w:r>
        <w:t>AVEX15</w:t>
      </w:r>
    </w:p>
    <w:p>
      <w:r>
        <w:t>AVEX15 features a 25 mm screw, 4 independent heating zones, and a maximum extrusion temperature of 450 °C. It delivers up to 15 kg/h (benchmarked with PETG +30% GF) for reliable, repeatable output.</w:t>
      </w:r>
    </w:p>
    <w:p>
      <w:pPr>
        <w:pStyle w:val="ListBullet"/>
      </w:pPr>
      <w:r>
        <w:t>Highlights:</w:t>
      </w:r>
    </w:p>
    <w:p>
      <w:pPr>
        <w:pStyle w:val="ListBullet2"/>
      </w:pPr>
      <w:r>
        <w:t>Compact footprint with industrial reliability for labs and pilot lines.</w:t>
      </w:r>
    </w:p>
    <w:p>
      <w:pPr>
        <w:pStyle w:val="ListBullet2"/>
      </w:pPr>
      <w:r>
        <w:t>Ideal for mid-size parts, method development, and materials R&amp;D.</w:t>
      </w:r>
    </w:p>
    <w:p>
      <w:pPr>
        <w:pStyle w:val="ListBullet2"/>
      </w:pPr>
      <w:r>
        <w:t>Quick-change nozzle concept and service-friendly layout.</w:t>
      </w:r>
    </w:p>
    <w:p>
      <w:pPr>
        <w:pStyle w:val="Heading2"/>
      </w:pPr>
      <w:r>
        <w:t>AVEX20</w:t>
      </w:r>
    </w:p>
    <w:p>
      <w:r>
        <w:t>AVEX20 features a 25 mm screw, 4 independent heating zones, and a maximum extrusion temperature of 450 °C. It delivers up to 20 kg/h (benchmarked with PETG +30% GF) for reliable, repeatable output.</w:t>
      </w:r>
    </w:p>
    <w:p>
      <w:pPr>
        <w:pStyle w:val="ListBullet"/>
      </w:pPr>
      <w:r>
        <w:t>Highlights:</w:t>
      </w:r>
    </w:p>
    <w:p>
      <w:pPr>
        <w:pStyle w:val="ListBullet2"/>
      </w:pPr>
      <w:r>
        <w:t>Workhorse extruder for industrial prototyping and tooling.</w:t>
      </w:r>
    </w:p>
    <w:p>
      <w:pPr>
        <w:pStyle w:val="ListBullet2"/>
      </w:pPr>
      <w:r>
        <w:t>Balanced throughput vs. footprint for factory environments.</w:t>
      </w:r>
    </w:p>
    <w:p>
      <w:pPr>
        <w:pStyle w:val="ListBullet2"/>
      </w:pPr>
      <w:r>
        <w:t>Proven with GF-reinforced filaments and pellets.</w:t>
      </w:r>
    </w:p>
    <w:p>
      <w:pPr>
        <w:pStyle w:val="Heading2"/>
      </w:pPr>
      <w:r>
        <w:t>AVEX32</w:t>
      </w:r>
    </w:p>
    <w:p>
      <w:r>
        <w:t>AVEX32 features a 35 mm screw, 4 independent heating zones, and a maximum extrusion temperature of 450 °C. It delivers up to 40 kg/h (benchmarked with PETG +30% GF) for reliable, repeatable output.</w:t>
      </w:r>
    </w:p>
    <w:p>
      <w:pPr>
        <w:pStyle w:val="ListBullet"/>
      </w:pPr>
      <w:r>
        <w:t>Highlights:</w:t>
      </w:r>
    </w:p>
    <w:p>
      <w:pPr>
        <w:pStyle w:val="ListBullet2"/>
      </w:pPr>
      <w:r>
        <w:t>High-throughput system for heavy-duty production and large assemblies.</w:t>
      </w:r>
    </w:p>
    <w:p>
      <w:pPr>
        <w:pStyle w:val="ListBullet2"/>
      </w:pPr>
      <w:r>
        <w:t>Stable melt quality at high flow rates for structural parts.</w:t>
      </w:r>
    </w:p>
    <w:p>
      <w:pPr>
        <w:pStyle w:val="ListBullet2"/>
      </w:pPr>
      <w:r>
        <w:t>Designed for continuous operation with reinforced polymers.</w:t>
      </w:r>
    </w:p>
    <w:p>
      <w:pPr>
        <w:pStyle w:val="Heading1"/>
      </w:pPr>
      <w:r>
        <w:t>Materials &amp; Process Guidelines (Typical)</w:t>
      </w:r>
    </w:p>
    <w:p>
      <w:r>
        <w:t>The following ranges are indicative; exact parameters depend on polymer grade, filler percentage, and part geometry. Benchmarking and tuning are recommended for each application.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Material</w:t>
            </w:r>
          </w:p>
        </w:tc>
        <w:tc>
          <w:tcPr>
            <w:tcW w:type="dxa" w:w="1728"/>
          </w:tcPr>
          <w:p>
            <w:r>
              <w:t>Typical Nozzle Ø</w:t>
            </w:r>
          </w:p>
        </w:tc>
        <w:tc>
          <w:tcPr>
            <w:tcW w:type="dxa" w:w="1728"/>
          </w:tcPr>
          <w:p>
            <w:r>
              <w:t>Layer Height Guideline</w:t>
            </w:r>
          </w:p>
        </w:tc>
        <w:tc>
          <w:tcPr>
            <w:tcW w:type="dxa" w:w="1728"/>
          </w:tcPr>
          <w:p>
            <w:r>
              <w:t>Melt Temp Window</w:t>
            </w:r>
          </w:p>
        </w:tc>
        <w:tc>
          <w:tcPr>
            <w:tcW w:type="dxa" w:w="1728"/>
          </w:tcPr>
          <w:p>
            <w:r>
              <w:t>Notes</w:t>
            </w:r>
          </w:p>
        </w:tc>
      </w:tr>
      <w:tr>
        <w:tc>
          <w:tcPr>
            <w:tcW w:type="dxa" w:w="1728"/>
          </w:tcPr>
          <w:p>
            <w:r>
              <w:t>PETG +30% GF (reference)</w:t>
            </w:r>
          </w:p>
        </w:tc>
        <w:tc>
          <w:tcPr>
            <w:tcW w:type="dxa" w:w="1728"/>
          </w:tcPr>
          <w:p>
            <w:r>
              <w:t>1.5–6.0 mm</w:t>
            </w:r>
          </w:p>
        </w:tc>
        <w:tc>
          <w:tcPr>
            <w:tcW w:type="dxa" w:w="1728"/>
          </w:tcPr>
          <w:p>
            <w:r>
              <w:t>30–60% of nozzle Ø</w:t>
            </w:r>
          </w:p>
        </w:tc>
        <w:tc>
          <w:tcPr>
            <w:tcW w:type="dxa" w:w="1728"/>
          </w:tcPr>
          <w:p>
            <w:r>
              <w:t>250–300 °C</w:t>
            </w:r>
          </w:p>
        </w:tc>
        <w:tc>
          <w:tcPr>
            <w:tcW w:type="dxa" w:w="1728"/>
          </w:tcPr>
          <w:p>
            <w:r>
              <w:t>Reference material for AVEX throughput; good dimensional stability.</w:t>
            </w:r>
          </w:p>
        </w:tc>
      </w:tr>
      <w:tr>
        <w:tc>
          <w:tcPr>
            <w:tcW w:type="dxa" w:w="1728"/>
          </w:tcPr>
          <w:p>
            <w:r>
              <w:t>PP +20–30% GF</w:t>
            </w:r>
          </w:p>
        </w:tc>
        <w:tc>
          <w:tcPr>
            <w:tcW w:type="dxa" w:w="1728"/>
          </w:tcPr>
          <w:p>
            <w:r>
              <w:t>1.5–6.0 mm</w:t>
            </w:r>
          </w:p>
        </w:tc>
        <w:tc>
          <w:tcPr>
            <w:tcW w:type="dxa" w:w="1728"/>
          </w:tcPr>
          <w:p>
            <w:r>
              <w:t>30–60% of nozzle Ø</w:t>
            </w:r>
          </w:p>
        </w:tc>
        <w:tc>
          <w:tcPr>
            <w:tcW w:type="dxa" w:w="1728"/>
          </w:tcPr>
          <w:p>
            <w:r>
              <w:t>220–260 °C</w:t>
            </w:r>
          </w:p>
        </w:tc>
        <w:tc>
          <w:tcPr>
            <w:tcW w:type="dxa" w:w="1728"/>
          </w:tcPr>
          <w:p>
            <w:r>
              <w:t>Lightweight with chemical resistance; shrinkage management required.</w:t>
            </w:r>
          </w:p>
        </w:tc>
      </w:tr>
      <w:tr>
        <w:tc>
          <w:tcPr>
            <w:tcW w:type="dxa" w:w="1728"/>
          </w:tcPr>
          <w:p>
            <w:r>
              <w:t>PA6/PA12 + GF/CF</w:t>
            </w:r>
          </w:p>
        </w:tc>
        <w:tc>
          <w:tcPr>
            <w:tcW w:type="dxa" w:w="1728"/>
          </w:tcPr>
          <w:p>
            <w:r>
              <w:t>1.5–6.0 mm</w:t>
            </w:r>
          </w:p>
        </w:tc>
        <w:tc>
          <w:tcPr>
            <w:tcW w:type="dxa" w:w="1728"/>
          </w:tcPr>
          <w:p>
            <w:r>
              <w:t>30–50% of nozzle Ø</w:t>
            </w:r>
          </w:p>
        </w:tc>
        <w:tc>
          <w:tcPr>
            <w:tcW w:type="dxa" w:w="1728"/>
          </w:tcPr>
          <w:p>
            <w:r>
              <w:t>260–320 °C</w:t>
            </w:r>
          </w:p>
        </w:tc>
        <w:tc>
          <w:tcPr>
            <w:tcW w:type="dxa" w:w="1728"/>
          </w:tcPr>
          <w:p>
            <w:r>
              <w:t>High strength; moisture control and enclosure recommended.</w:t>
            </w:r>
          </w:p>
        </w:tc>
      </w:tr>
      <w:tr>
        <w:tc>
          <w:tcPr>
            <w:tcW w:type="dxa" w:w="1728"/>
          </w:tcPr>
          <w:p>
            <w:r>
              <w:t>PC / PC blends</w:t>
            </w:r>
          </w:p>
        </w:tc>
        <w:tc>
          <w:tcPr>
            <w:tcW w:type="dxa" w:w="1728"/>
          </w:tcPr>
          <w:p>
            <w:r>
              <w:t>1.5–6.0 mm</w:t>
            </w:r>
          </w:p>
        </w:tc>
        <w:tc>
          <w:tcPr>
            <w:tcW w:type="dxa" w:w="1728"/>
          </w:tcPr>
          <w:p>
            <w:r>
              <w:t>30–50% of nozzle Ø</w:t>
            </w:r>
          </w:p>
        </w:tc>
        <w:tc>
          <w:tcPr>
            <w:tcW w:type="dxa" w:w="1728"/>
          </w:tcPr>
          <w:p>
            <w:r>
              <w:t>280–320 °C</w:t>
            </w:r>
          </w:p>
        </w:tc>
        <w:tc>
          <w:tcPr>
            <w:tcW w:type="dxa" w:w="1728"/>
          </w:tcPr>
          <w:p>
            <w:r>
              <w:t>High heat deflection; enclosure improves layer adhesion.</w:t>
            </w:r>
          </w:p>
        </w:tc>
      </w:tr>
      <w:tr>
        <w:tc>
          <w:tcPr>
            <w:tcW w:type="dxa" w:w="1728"/>
          </w:tcPr>
          <w:p>
            <w:r>
              <w:t>ABS / ASA (reinforced)</w:t>
            </w:r>
          </w:p>
        </w:tc>
        <w:tc>
          <w:tcPr>
            <w:tcW w:type="dxa" w:w="1728"/>
          </w:tcPr>
          <w:p>
            <w:r>
              <w:t>1.5–6.0 mm</w:t>
            </w:r>
          </w:p>
        </w:tc>
        <w:tc>
          <w:tcPr>
            <w:tcW w:type="dxa" w:w="1728"/>
          </w:tcPr>
          <w:p>
            <w:r>
              <w:t>30–50% of nozzle Ø</w:t>
            </w:r>
          </w:p>
        </w:tc>
        <w:tc>
          <w:tcPr>
            <w:tcW w:type="dxa" w:w="1728"/>
          </w:tcPr>
          <w:p>
            <w:r>
              <w:t>240–270 °C</w:t>
            </w:r>
          </w:p>
        </w:tc>
        <w:tc>
          <w:tcPr>
            <w:tcW w:type="dxa" w:w="1728"/>
          </w:tcPr>
          <w:p>
            <w:r>
              <w:t>General-purpose; ASA offers better UV stability.</w:t>
            </w:r>
          </w:p>
        </w:tc>
      </w:tr>
    </w:tbl>
    <w:p>
      <w:pPr>
        <w:pStyle w:val="Heading1"/>
      </w:pPr>
      <w:r>
        <w:t>Software &amp; Workflow</w:t>
      </w:r>
    </w:p>
    <w:p>
      <w:pPr>
        <w:pStyle w:val="ListBullet"/>
      </w:pPr>
      <w:r>
        <w:t>CAD/CAM Pathing with ENCY: generate robotic toolpaths (bead width, layer height, deposition angles).</w:t>
      </w:r>
    </w:p>
    <w:p>
      <w:pPr>
        <w:pStyle w:val="ListBullet"/>
      </w:pPr>
      <w:r>
        <w:t>AI Optimization with Ai Build: simulate, optimize, and validate extrusion paths to reduce defects and improve quality.</w:t>
      </w:r>
    </w:p>
    <w:p>
      <w:pPr>
        <w:pStyle w:val="ListBullet"/>
      </w:pPr>
      <w:r>
        <w:t>Robotic Additive with Adaxis: streamline robot programming, calibration, and cell coordination for multi-axis printing.</w:t>
      </w:r>
    </w:p>
    <w:p>
      <w:pPr>
        <w:pStyle w:val="ListBullet"/>
      </w:pPr>
      <w:r>
        <w:t>Closed-Loop Best Practices: optional sensors (temperature, flow, vision) and feedback routines for consistency.</w:t>
      </w:r>
    </w:p>
    <w:p>
      <w:pPr>
        <w:pStyle w:val="Heading1"/>
      </w:pPr>
      <w:r>
        <w:t>Integration &amp; Interfaces</w:t>
      </w:r>
    </w:p>
    <w:p>
      <w:pPr>
        <w:pStyle w:val="ListBullet"/>
      </w:pPr>
      <w:r>
        <w:t>Robotic Platforms: validated with KUKA, ABB, and Fanuc robots.</w:t>
      </w:r>
    </w:p>
    <w:p>
      <w:pPr>
        <w:pStyle w:val="ListBullet"/>
      </w:pPr>
      <w:r>
        <w:t>Mounting: flange mounting; dimensions and hole patterns provided in technical drawings.</w:t>
      </w:r>
    </w:p>
    <w:p>
      <w:pPr>
        <w:pStyle w:val="ListBullet"/>
      </w:pPr>
      <w:r>
        <w:t>Controls: supports standard robot-controller signaling and synchronization (digital I/O and robot-native interfaces).</w:t>
      </w:r>
    </w:p>
    <w:p>
      <w:pPr>
        <w:pStyle w:val="ListBullet"/>
      </w:pPr>
      <w:r>
        <w:t>Cooling: water-cooled barrel and nozzle for thermal stability in high-throughput scenarios.</w:t>
      </w:r>
    </w:p>
    <w:p>
      <w:pPr>
        <w:pStyle w:val="ListBullet"/>
      </w:pPr>
      <w:r>
        <w:t>Safety: interlocks and temperature protections designed per industrial best practices.</w:t>
      </w:r>
    </w:p>
    <w:p>
      <w:pPr>
        <w:pStyle w:val="Heading1"/>
      </w:pPr>
      <w:r>
        <w:t>Quality, Reliability &amp; Compliance</w:t>
      </w:r>
    </w:p>
    <w:p>
      <w:pPr>
        <w:pStyle w:val="ListBullet"/>
      </w:pPr>
      <w:r>
        <w:t>Continuous operation proven in long-duration production deployments.</w:t>
      </w:r>
    </w:p>
    <w:p>
      <w:pPr>
        <w:pStyle w:val="ListBullet"/>
      </w:pPr>
      <w:r>
        <w:t>Design follows CE principles; detailed risk assessment and documentation available upon request.</w:t>
      </w:r>
    </w:p>
    <w:p>
      <w:pPr>
        <w:pStyle w:val="ListBullet"/>
      </w:pPr>
      <w:r>
        <w:t>Factory acceptance tests (FAT) and site acceptance tests (SAT) procedures available.</w:t>
      </w:r>
    </w:p>
    <w:p>
      <w:pPr>
        <w:pStyle w:val="Heading1"/>
      </w:pPr>
      <w:r>
        <w:t>Accessories &amp; Options</w:t>
      </w:r>
    </w:p>
    <w:p>
      <w:pPr>
        <w:pStyle w:val="ListBullet"/>
      </w:pPr>
      <w:r>
        <w:t>Nozzles: multiple diameters for varying bead widths and deposition rates.</w:t>
      </w:r>
    </w:p>
    <w:p>
      <w:pPr>
        <w:pStyle w:val="ListBullet"/>
      </w:pPr>
      <w:r>
        <w:t>Material Handling: hopper and dryer integration guidance for reinforced pellets.</w:t>
      </w:r>
    </w:p>
    <w:p>
      <w:pPr>
        <w:pStyle w:val="ListBullet"/>
      </w:pPr>
      <w:r>
        <w:t>Calibration Aids: alignment gauges and flow calibration routines.</w:t>
      </w:r>
    </w:p>
    <w:p>
      <w:pPr>
        <w:pStyle w:val="ListBullet"/>
      </w:pPr>
      <w:r>
        <w:t>Enclosures &amp; Shields: thermal and safety enclosures where required by process.</w:t>
      </w:r>
    </w:p>
    <w:p>
      <w:pPr>
        <w:pStyle w:val="Heading1"/>
      </w:pPr>
      <w:r>
        <w:t>Installation, Commissioning &amp; Training</w:t>
      </w:r>
    </w:p>
    <w:p>
      <w:r>
        <w:t>Avenco provides commissioning support, operator training, and process tuning. Recommended on-site package includes mechanical mounting assistance, parameter setup for reference materials (PETG +30% GF), and workflow handover covering ENCY, Ai Build, and Adaxis toolchains.</w:t>
      </w:r>
    </w:p>
    <w:p>
      <w:pPr>
        <w:pStyle w:val="Heading1"/>
      </w:pPr>
      <w:r>
        <w:t>Support &amp; Service</w:t>
      </w:r>
    </w:p>
    <w:p>
      <w:r>
        <w:t>• 1-Year Free Technical Support is included with every AVEX extruder.</w:t>
        <w:br/>
        <w:t>• Advanced Support Subscription: extended remote support, on-site visits, and periodic process audits.</w:t>
        <w:br/>
        <w:t>• Spare Parts &amp; Preventive Maintenance programs available globally.</w:t>
      </w:r>
    </w:p>
    <w:p>
      <w:pPr>
        <w:pStyle w:val="Heading1"/>
      </w:pPr>
      <w:r>
        <w:t>ROI &amp; Business Impact</w:t>
      </w:r>
    </w:p>
    <w:p>
      <w:pPr>
        <w:pStyle w:val="ListBullet"/>
      </w:pPr>
      <w:r>
        <w:t>Reduce lead times for large tooling and prototypes from weeks to days.</w:t>
      </w:r>
    </w:p>
    <w:p>
      <w:pPr>
        <w:pStyle w:val="ListBullet"/>
      </w:pPr>
      <w:r>
        <w:t>Lower material waste vs. subtractive methods by targeted deposition.</w:t>
      </w:r>
    </w:p>
    <w:p>
      <w:pPr>
        <w:pStyle w:val="ListBullet"/>
      </w:pPr>
      <w:r>
        <w:t>Enable design freedom for lightweight, high-strength geometries.</w:t>
      </w:r>
    </w:p>
    <w:p>
      <w:pPr>
        <w:pStyle w:val="ListBullet"/>
      </w:pPr>
      <w:r>
        <w:t>Scale throughput with AVEX32 for production; deploy AVEX15/20 for development and pre-series.</w:t>
      </w:r>
    </w:p>
    <w:p>
      <w:pPr>
        <w:pStyle w:val="Heading1"/>
      </w:pPr>
      <w:r>
        <w:t>Ordering Information</w:t>
      </w:r>
    </w:p>
    <w:p>
      <w:pPr>
        <w:pStyle w:val="ListBullet"/>
      </w:pPr>
      <w:r>
        <w:t>Select model (AVEX15 / AVEX20 / AVEX32) based on required throughput and part scale.</w:t>
      </w:r>
    </w:p>
    <w:p>
      <w:pPr>
        <w:pStyle w:val="ListBullet"/>
      </w:pPr>
      <w:r>
        <w:t>Confirm material set and nozzle assortment.</w:t>
      </w:r>
    </w:p>
    <w:p>
      <w:pPr>
        <w:pStyle w:val="ListBullet"/>
      </w:pPr>
      <w:r>
        <w:t>Define integration scope with the target robot platform.</w:t>
      </w:r>
    </w:p>
    <w:p>
      <w:pPr>
        <w:pStyle w:val="ListBullet"/>
      </w:pPr>
      <w:r>
        <w:t>Optional: choose support subscription and training package.</w:t>
      </w:r>
    </w:p>
    <w:p>
      <w:pPr>
        <w:pStyle w:val="Heading1"/>
      </w:pPr>
      <w:r>
        <w:t>Contact</w:t>
      </w:r>
    </w:p>
    <w:p>
      <w:r>
        <w:t>Avenco Robotics &amp; Automation</w:t>
        <w:br/>
        <w:t>Istanbul – Headquarters &amp; Production</w:t>
        <w:br/>
        <w:t>Dubai – Office &amp; Workshop</w:t>
        <w:br/>
        <w:br/>
        <w:t>Website: www.avenco3d.com</w:t>
        <w:br/>
        <w:t>E-mail: info@avenco3d.com</w:t>
        <w:br/>
        <w:t>LinkedIn: Avenco Robotics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