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5B048" w14:textId="77777777" w:rsidR="00C6648B" w:rsidRPr="00C26FEC" w:rsidRDefault="00741DB3" w:rsidP="00C26FEC">
      <w:pPr>
        <w:jc w:val="center"/>
      </w:pPr>
      <w:r w:rsidRPr="005245E5">
        <w:t>Infographic Design Information</w:t>
      </w:r>
      <w:r w:rsidR="00C26FEC">
        <w:br/>
      </w:r>
      <w:r w:rsidR="00C6648B" w:rsidRPr="005245E5">
        <w:rPr>
          <w:b w:val="0"/>
          <w:bCs w:val="0"/>
        </w:rPr>
        <w:t xml:space="preserve">For requests to submit to </w:t>
      </w:r>
      <w:proofErr w:type="spellStart"/>
      <w:r w:rsidR="00C6648B" w:rsidRPr="005245E5">
        <w:rPr>
          <w:b w:val="0"/>
          <w:bCs w:val="0"/>
        </w:rPr>
        <w:t>DesignCrowd</w:t>
      </w:r>
      <w:proofErr w:type="spellEnd"/>
    </w:p>
    <w:tbl>
      <w:tblPr>
        <w:tblStyle w:val="TableGrid"/>
        <w:tblW w:w="14029" w:type="dxa"/>
        <w:tblLook w:val="04A0" w:firstRow="1" w:lastRow="0" w:firstColumn="1" w:lastColumn="0" w:noHBand="0" w:noVBand="1"/>
      </w:tblPr>
      <w:tblGrid>
        <w:gridCol w:w="3114"/>
        <w:gridCol w:w="10915"/>
      </w:tblGrid>
      <w:tr w:rsidR="000A1D23" w:rsidRPr="007F0E8A" w14:paraId="047692AA" w14:textId="77777777" w:rsidTr="000A1D23">
        <w:tc>
          <w:tcPr>
            <w:tcW w:w="3114" w:type="dxa"/>
          </w:tcPr>
          <w:p w14:paraId="61A88070" w14:textId="77777777" w:rsidR="000A1D23" w:rsidRPr="007F0E8A" w:rsidRDefault="000A1D23" w:rsidP="00741DB3">
            <w:pPr>
              <w:rPr>
                <w:b w:val="0"/>
                <w:bCs w:val="0"/>
              </w:rPr>
            </w:pPr>
            <w:r w:rsidRPr="00AF7393">
              <w:t>Study information</w:t>
            </w:r>
          </w:p>
        </w:tc>
        <w:tc>
          <w:tcPr>
            <w:tcW w:w="10915" w:type="dxa"/>
          </w:tcPr>
          <w:p w14:paraId="18543111" w14:textId="77777777" w:rsidR="000A1D23" w:rsidRPr="005245E5" w:rsidRDefault="000A1D23" w:rsidP="00741DB3">
            <w:r>
              <w:t>Answer</w:t>
            </w:r>
          </w:p>
        </w:tc>
      </w:tr>
      <w:tr w:rsidR="000A1D23" w:rsidRPr="007F0E8A" w14:paraId="35410599" w14:textId="77777777" w:rsidTr="000A1D23">
        <w:tc>
          <w:tcPr>
            <w:tcW w:w="3114" w:type="dxa"/>
          </w:tcPr>
          <w:p w14:paraId="53E527A6" w14:textId="77777777" w:rsidR="000A1D23" w:rsidRPr="007F0E8A" w:rsidRDefault="000A1D23" w:rsidP="00741DB3">
            <w:pPr>
              <w:rPr>
                <w:b w:val="0"/>
                <w:bCs w:val="0"/>
              </w:rPr>
            </w:pPr>
            <w:r w:rsidRPr="007F0E8A">
              <w:rPr>
                <w:b w:val="0"/>
                <w:bCs w:val="0"/>
              </w:rPr>
              <w:t>Study title</w:t>
            </w:r>
          </w:p>
        </w:tc>
        <w:tc>
          <w:tcPr>
            <w:tcW w:w="10915" w:type="dxa"/>
          </w:tcPr>
          <w:p w14:paraId="192EE55F" w14:textId="77777777" w:rsidR="000A1D23" w:rsidRDefault="000A1D23">
            <w:r>
              <w:t>Effect of Incisional Negative Pressure Wound Therapy vs Standard Wound Dressing on Deep Surgical Site Infection After Surgery for Lower Limb Fractures Associated With Major Trauma: The WHIST Randomized Clinical Trial</w:t>
            </w:r>
          </w:p>
        </w:tc>
      </w:tr>
      <w:tr w:rsidR="000A1D23" w:rsidRPr="007F0E8A" w14:paraId="350CB953" w14:textId="77777777" w:rsidTr="000A1D23">
        <w:tc>
          <w:tcPr>
            <w:tcW w:w="3114" w:type="dxa"/>
          </w:tcPr>
          <w:p w14:paraId="1A808DEF" w14:textId="77777777" w:rsidR="000A1D23" w:rsidRPr="007F0E8A" w:rsidRDefault="000A1D23" w:rsidP="00741DB3">
            <w:pPr>
              <w:rPr>
                <w:b w:val="0"/>
                <w:bCs w:val="0"/>
              </w:rPr>
            </w:pPr>
            <w:r w:rsidRPr="007F0E8A">
              <w:rPr>
                <w:b w:val="0"/>
                <w:bCs w:val="0"/>
              </w:rPr>
              <w:t xml:space="preserve">Study acronym </w:t>
            </w:r>
          </w:p>
        </w:tc>
        <w:tc>
          <w:tcPr>
            <w:tcW w:w="10915" w:type="dxa"/>
          </w:tcPr>
          <w:p w14:paraId="50D1CB03" w14:textId="77777777" w:rsidR="000A1D23" w:rsidRDefault="000A1D23">
            <w:r>
              <w:t>WHIST (Wound Healing In Surgery for Trauma)</w:t>
            </w:r>
          </w:p>
        </w:tc>
      </w:tr>
      <w:tr w:rsidR="000A1D23" w:rsidRPr="007F0E8A" w14:paraId="2AF37108" w14:textId="77777777" w:rsidTr="000A1D23">
        <w:tc>
          <w:tcPr>
            <w:tcW w:w="3114" w:type="dxa"/>
          </w:tcPr>
          <w:p w14:paraId="442E6B36" w14:textId="77777777" w:rsidR="000A1D23" w:rsidRPr="007F0E8A" w:rsidRDefault="000A1D23" w:rsidP="00486298">
            <w:pPr>
              <w:rPr>
                <w:b w:val="0"/>
                <w:bCs w:val="0"/>
              </w:rPr>
            </w:pPr>
            <w:r>
              <w:rPr>
                <w:b w:val="0"/>
                <w:bCs w:val="0"/>
              </w:rPr>
              <w:t>Headline</w:t>
            </w:r>
          </w:p>
        </w:tc>
        <w:tc>
          <w:tcPr>
            <w:tcW w:w="10915" w:type="dxa"/>
          </w:tcPr>
          <w:p w14:paraId="43D3CA16" w14:textId="16083B8A" w:rsidR="000A1D23" w:rsidRDefault="000A1D23">
            <w:r>
              <w:t>Do ‘vacuum’ dressings reduce infection after major trauma fracture surgery?</w:t>
            </w:r>
          </w:p>
        </w:tc>
      </w:tr>
      <w:tr w:rsidR="000A1D23" w:rsidRPr="007F0E8A" w14:paraId="0FC6A68C" w14:textId="77777777" w:rsidTr="000A1D23">
        <w:tc>
          <w:tcPr>
            <w:tcW w:w="3114" w:type="dxa"/>
          </w:tcPr>
          <w:p w14:paraId="584414A6" w14:textId="77777777" w:rsidR="000A1D23" w:rsidRPr="007F0E8A" w:rsidRDefault="000A1D23" w:rsidP="00486298">
            <w:pPr>
              <w:rPr>
                <w:b w:val="0"/>
                <w:bCs w:val="0"/>
              </w:rPr>
            </w:pPr>
            <w:r>
              <w:rPr>
                <w:b w:val="0"/>
                <w:bCs w:val="0"/>
              </w:rPr>
              <w:t>Study summary</w:t>
            </w:r>
          </w:p>
        </w:tc>
        <w:tc>
          <w:tcPr>
            <w:tcW w:w="10915" w:type="dxa"/>
          </w:tcPr>
          <w:p w14:paraId="46D90EDA" w14:textId="3E1399D0" w:rsidR="000A1D23" w:rsidRDefault="000A1D23">
            <w:r>
              <w:t>Adults with closed lower-limb fractures in the context of major trauma were randomised at 24 UK hospitals to negative pressure ‘vacuum’ dressings or standard dressings. At 30 and 90 days, deep infection rates were similar, and no difference in disability, quality of life, or pain was found.</w:t>
            </w:r>
          </w:p>
        </w:tc>
      </w:tr>
      <w:tr w:rsidR="000A1D23" w:rsidRPr="007F0E8A" w14:paraId="21CE4C4E" w14:textId="77777777" w:rsidTr="000A1D23">
        <w:tc>
          <w:tcPr>
            <w:tcW w:w="3114" w:type="dxa"/>
          </w:tcPr>
          <w:p w14:paraId="52EFF78A" w14:textId="77777777" w:rsidR="000A1D23" w:rsidRPr="007F0E8A" w:rsidRDefault="000A1D23" w:rsidP="00486298">
            <w:pPr>
              <w:rPr>
                <w:b w:val="0"/>
                <w:bCs w:val="0"/>
              </w:rPr>
            </w:pPr>
            <w:r>
              <w:rPr>
                <w:b w:val="0"/>
                <w:bCs w:val="0"/>
              </w:rPr>
              <w:t>Key messages/findings</w:t>
            </w:r>
          </w:p>
        </w:tc>
        <w:tc>
          <w:tcPr>
            <w:tcW w:w="10915" w:type="dxa"/>
          </w:tcPr>
          <w:p w14:paraId="47199379" w14:textId="3B3B6305" w:rsidR="000A1D23" w:rsidRDefault="000A1D23">
            <w:r>
              <w:t>• 1,548 adults randomised across 24 UK trauma hospitals</w:t>
            </w:r>
          </w:p>
          <w:p w14:paraId="5AF84931" w14:textId="2DCC4DFA" w:rsidR="000A1D23" w:rsidRDefault="000A1D23">
            <w:r>
              <w:t>• No reduction in deep infection: 5.8% (NPWT) vs 6.7% (standard) at 30 days.</w:t>
            </w:r>
            <w:r>
              <w:br/>
              <w:t xml:space="preserve">• No difference at final </w:t>
            </w:r>
            <w:proofErr w:type="gramStart"/>
            <w:r>
              <w:t>follow</w:t>
            </w:r>
            <w:proofErr w:type="gramEnd"/>
            <w:r>
              <w:t xml:space="preserve"> up (6 months) in infection, disability, quality of life, scar healing, or pain.</w:t>
            </w:r>
            <w:r>
              <w:br/>
            </w:r>
          </w:p>
        </w:tc>
      </w:tr>
      <w:tr w:rsidR="000A1D23" w:rsidRPr="007F0E8A" w14:paraId="220442D2" w14:textId="77777777" w:rsidTr="000A1D23">
        <w:tc>
          <w:tcPr>
            <w:tcW w:w="3114" w:type="dxa"/>
          </w:tcPr>
          <w:p w14:paraId="0252134D" w14:textId="77777777" w:rsidR="000A1D23" w:rsidRPr="007F0E8A" w:rsidRDefault="000A1D23" w:rsidP="00486298">
            <w:pPr>
              <w:rPr>
                <w:b w:val="0"/>
                <w:bCs w:val="0"/>
              </w:rPr>
            </w:pPr>
            <w:r>
              <w:rPr>
                <w:b w:val="0"/>
                <w:bCs w:val="0"/>
              </w:rPr>
              <w:t>Eligibility criteria (if relevant)</w:t>
            </w:r>
          </w:p>
        </w:tc>
        <w:tc>
          <w:tcPr>
            <w:tcW w:w="10915" w:type="dxa"/>
          </w:tcPr>
          <w:p w14:paraId="43B277F6" w14:textId="0B67E79E" w:rsidR="000A1D23" w:rsidRDefault="000A1D23">
            <w:r>
              <w:t xml:space="preserve">Inclusion Criteria: Adults ≥16 years old; major trauma with lower-limb fracture requiring surgery; wound closed primarily after operation; presented within 72 hours. </w:t>
            </w:r>
          </w:p>
          <w:p w14:paraId="21BB159D" w14:textId="60A56221" w:rsidR="000A1D23" w:rsidRDefault="000A1D23">
            <w:r>
              <w:t>Excluded: patients unable to adhere or open fractures not closable at first surgery.</w:t>
            </w:r>
          </w:p>
        </w:tc>
      </w:tr>
      <w:tr w:rsidR="000A1D23" w:rsidRPr="007F0E8A" w14:paraId="594BAF2D" w14:textId="77777777" w:rsidTr="000A1D23">
        <w:tc>
          <w:tcPr>
            <w:tcW w:w="3114" w:type="dxa"/>
          </w:tcPr>
          <w:p w14:paraId="18843A00" w14:textId="77777777" w:rsidR="000A1D23" w:rsidRPr="007F0E8A" w:rsidRDefault="000A1D23" w:rsidP="00486298">
            <w:pPr>
              <w:rPr>
                <w:b w:val="0"/>
                <w:bCs w:val="0"/>
              </w:rPr>
            </w:pPr>
            <w:r>
              <w:rPr>
                <w:b w:val="0"/>
                <w:bCs w:val="0"/>
              </w:rPr>
              <w:t>Study details (if relevant)</w:t>
            </w:r>
          </w:p>
        </w:tc>
        <w:tc>
          <w:tcPr>
            <w:tcW w:w="10915" w:type="dxa"/>
          </w:tcPr>
          <w:p w14:paraId="23B1BEF6" w14:textId="77777777" w:rsidR="000A1D23" w:rsidRDefault="000A1D23">
            <w:r>
              <w:t>Design: Multicentre RCT; Sites: 24 UK trauma hospitals; Participants: 1,548 adults; Recruitment: July 2016 – April 2018; Follow-up: December 2018; Trial registration: ISRCTN12702354.</w:t>
            </w:r>
          </w:p>
        </w:tc>
      </w:tr>
      <w:tr w:rsidR="000A1D23" w:rsidRPr="007F0E8A" w14:paraId="14F723BA" w14:textId="77777777" w:rsidTr="000A1D23">
        <w:tc>
          <w:tcPr>
            <w:tcW w:w="3114" w:type="dxa"/>
          </w:tcPr>
          <w:p w14:paraId="478C2558" w14:textId="77777777" w:rsidR="000A1D23" w:rsidRPr="007F0E8A" w:rsidRDefault="000A1D23" w:rsidP="00486298">
            <w:pPr>
              <w:rPr>
                <w:b w:val="0"/>
                <w:bCs w:val="0"/>
              </w:rPr>
            </w:pPr>
            <w:r>
              <w:rPr>
                <w:b w:val="0"/>
                <w:bCs w:val="0"/>
              </w:rPr>
              <w:t>Target audience</w:t>
            </w:r>
          </w:p>
        </w:tc>
        <w:tc>
          <w:tcPr>
            <w:tcW w:w="10915" w:type="dxa"/>
          </w:tcPr>
          <w:p w14:paraId="66816C32" w14:textId="68DD61F2" w:rsidR="000A1D23" w:rsidRDefault="000A1D23">
            <w:r>
              <w:t>Trauma and orthopaedic surgeons, plastic surgeons, infection prevention staff, patients and the public.</w:t>
            </w:r>
          </w:p>
        </w:tc>
      </w:tr>
      <w:tr w:rsidR="000A1D23" w:rsidRPr="007F0E8A" w14:paraId="62FCD857" w14:textId="77777777" w:rsidTr="000A1D23">
        <w:tc>
          <w:tcPr>
            <w:tcW w:w="3114" w:type="dxa"/>
          </w:tcPr>
          <w:p w14:paraId="6822421A" w14:textId="77777777" w:rsidR="000A1D23" w:rsidRDefault="000A1D23" w:rsidP="00486298">
            <w:pPr>
              <w:rPr>
                <w:b w:val="0"/>
                <w:bCs w:val="0"/>
              </w:rPr>
            </w:pPr>
            <w:r>
              <w:rPr>
                <w:b w:val="0"/>
                <w:bCs w:val="0"/>
              </w:rPr>
              <w:t>Contact information</w:t>
            </w:r>
          </w:p>
        </w:tc>
        <w:tc>
          <w:tcPr>
            <w:tcW w:w="10915" w:type="dxa"/>
          </w:tcPr>
          <w:p w14:paraId="054ECDBE" w14:textId="77777777" w:rsidR="000A1D23" w:rsidRDefault="000A1D23">
            <w:r>
              <w:t>Prof. Matthew Costa, University of Oxford – matthew.costa@ndorms.ox.ac.uk</w:t>
            </w:r>
          </w:p>
        </w:tc>
      </w:tr>
      <w:tr w:rsidR="000A1D23" w:rsidRPr="007F0E8A" w14:paraId="571C5A8A" w14:textId="77777777" w:rsidTr="000A1D23">
        <w:tc>
          <w:tcPr>
            <w:tcW w:w="3114" w:type="dxa"/>
          </w:tcPr>
          <w:p w14:paraId="19046962" w14:textId="77777777" w:rsidR="000A1D23" w:rsidRDefault="000A1D23" w:rsidP="00486298">
            <w:pPr>
              <w:rPr>
                <w:b w:val="0"/>
                <w:bCs w:val="0"/>
              </w:rPr>
            </w:pPr>
            <w:r>
              <w:rPr>
                <w:b w:val="0"/>
                <w:bCs w:val="0"/>
              </w:rPr>
              <w:t>Sponsor name</w:t>
            </w:r>
          </w:p>
        </w:tc>
        <w:tc>
          <w:tcPr>
            <w:tcW w:w="10915" w:type="dxa"/>
          </w:tcPr>
          <w:p w14:paraId="594B9E08" w14:textId="77777777" w:rsidR="000A1D23" w:rsidRDefault="000A1D23">
            <w:r>
              <w:t>University of Oxford</w:t>
            </w:r>
          </w:p>
        </w:tc>
      </w:tr>
      <w:tr w:rsidR="000A1D23" w:rsidRPr="007F0E8A" w14:paraId="43E77F88" w14:textId="77777777" w:rsidTr="000A1D23">
        <w:tc>
          <w:tcPr>
            <w:tcW w:w="3114" w:type="dxa"/>
          </w:tcPr>
          <w:p w14:paraId="75CA4F66" w14:textId="77777777" w:rsidR="000A1D23" w:rsidRDefault="000A1D23" w:rsidP="00486298">
            <w:pPr>
              <w:rPr>
                <w:b w:val="0"/>
                <w:bCs w:val="0"/>
              </w:rPr>
            </w:pPr>
            <w:r>
              <w:rPr>
                <w:b w:val="0"/>
                <w:bCs w:val="0"/>
              </w:rPr>
              <w:t>Funder</w:t>
            </w:r>
          </w:p>
        </w:tc>
        <w:tc>
          <w:tcPr>
            <w:tcW w:w="10915" w:type="dxa"/>
          </w:tcPr>
          <w:p w14:paraId="6D54F224" w14:textId="77777777" w:rsidR="000A1D23" w:rsidRDefault="000A1D23">
            <w:r>
              <w:t>NIHR Health Technology Assessment Programme (project 14/199/14); supported by NIHR Oxford Biomedical Research Centre; Smith &amp; Nephew supplied dressings.</w:t>
            </w:r>
          </w:p>
        </w:tc>
      </w:tr>
    </w:tbl>
    <w:p w14:paraId="23144D77" w14:textId="77777777" w:rsidR="00741DB3" w:rsidRDefault="00741DB3" w:rsidP="00741DB3">
      <w:pPr>
        <w:rPr>
          <w:b w:val="0"/>
          <w:bCs w:val="0"/>
        </w:rPr>
      </w:pPr>
    </w:p>
    <w:tbl>
      <w:tblPr>
        <w:tblStyle w:val="TableGrid"/>
        <w:tblW w:w="14029" w:type="dxa"/>
        <w:tblLook w:val="04A0" w:firstRow="1" w:lastRow="0" w:firstColumn="1" w:lastColumn="0" w:noHBand="0" w:noVBand="1"/>
      </w:tblPr>
      <w:tblGrid>
        <w:gridCol w:w="3114"/>
        <w:gridCol w:w="10915"/>
      </w:tblGrid>
      <w:tr w:rsidR="000A1D23" w:rsidRPr="007F0E8A" w14:paraId="78842679" w14:textId="77777777" w:rsidTr="000A1D23">
        <w:tc>
          <w:tcPr>
            <w:tcW w:w="3114" w:type="dxa"/>
          </w:tcPr>
          <w:p w14:paraId="5CEC8587" w14:textId="77777777" w:rsidR="000A1D23" w:rsidRPr="007F0E8A" w:rsidRDefault="000A1D23" w:rsidP="006E1C04">
            <w:pPr>
              <w:rPr>
                <w:b w:val="0"/>
                <w:bCs w:val="0"/>
              </w:rPr>
            </w:pPr>
            <w:r>
              <w:t>Design information/branding</w:t>
            </w:r>
          </w:p>
        </w:tc>
        <w:tc>
          <w:tcPr>
            <w:tcW w:w="10915" w:type="dxa"/>
          </w:tcPr>
          <w:p w14:paraId="78CB67D4" w14:textId="77777777" w:rsidR="000A1D23" w:rsidRPr="005245E5" w:rsidRDefault="000A1D23" w:rsidP="006E1C04">
            <w:r>
              <w:t>Answer</w:t>
            </w:r>
          </w:p>
        </w:tc>
      </w:tr>
      <w:tr w:rsidR="000A1D23" w:rsidRPr="007F0E8A" w14:paraId="31C0FCC7" w14:textId="77777777" w:rsidTr="000A1D23">
        <w:tc>
          <w:tcPr>
            <w:tcW w:w="3114" w:type="dxa"/>
          </w:tcPr>
          <w:p w14:paraId="4B611318" w14:textId="42EA16F9" w:rsidR="000A1D23" w:rsidRPr="007F0E8A" w:rsidRDefault="000A1D23" w:rsidP="006E1C04">
            <w:pPr>
              <w:rPr>
                <w:b w:val="0"/>
                <w:bCs w:val="0"/>
              </w:rPr>
            </w:pPr>
            <w:r>
              <w:rPr>
                <w:b w:val="0"/>
                <w:bCs w:val="0"/>
              </w:rPr>
              <w:t xml:space="preserve">Preferred colour scheme? </w:t>
            </w:r>
          </w:p>
        </w:tc>
        <w:tc>
          <w:tcPr>
            <w:tcW w:w="10915" w:type="dxa"/>
          </w:tcPr>
          <w:p w14:paraId="66265C8E" w14:textId="77777777" w:rsidR="000A1D23" w:rsidRDefault="000A1D23">
            <w:r>
              <w:t>Oxford blue with NIHR red/navy highlights (Oxford &amp; NIHR branding).</w:t>
            </w:r>
          </w:p>
        </w:tc>
      </w:tr>
      <w:tr w:rsidR="000A1D23" w:rsidRPr="007F0E8A" w14:paraId="04DEFD65" w14:textId="77777777" w:rsidTr="000A1D23">
        <w:tc>
          <w:tcPr>
            <w:tcW w:w="3114" w:type="dxa"/>
          </w:tcPr>
          <w:p w14:paraId="53AE3B81" w14:textId="77777777" w:rsidR="000A1D23" w:rsidRPr="007F0E8A" w:rsidRDefault="000A1D23" w:rsidP="006E1C04">
            <w:pPr>
              <w:rPr>
                <w:b w:val="0"/>
                <w:bCs w:val="0"/>
              </w:rPr>
            </w:pPr>
            <w:r>
              <w:rPr>
                <w:b w:val="0"/>
                <w:bCs w:val="0"/>
              </w:rPr>
              <w:t>Style and design preferences</w:t>
            </w:r>
          </w:p>
        </w:tc>
        <w:tc>
          <w:tcPr>
            <w:tcW w:w="10915" w:type="dxa"/>
          </w:tcPr>
          <w:p w14:paraId="5E2D9C34" w14:textId="77777777" w:rsidR="000A1D23" w:rsidRDefault="000A1D23">
            <w:r>
              <w:t>Clean, clinical, bold; use icons to show patients, hospitals, and comparison of dressings; clear result panel showing ‘no difference’.</w:t>
            </w:r>
          </w:p>
        </w:tc>
      </w:tr>
    </w:tbl>
    <w:p w14:paraId="79ABAC0F" w14:textId="77777777" w:rsidR="00976872" w:rsidRDefault="00976872" w:rsidP="00741DB3">
      <w:pPr>
        <w:rPr>
          <w:b w:val="0"/>
          <w:bCs w:val="0"/>
        </w:rPr>
      </w:pPr>
    </w:p>
    <w:tbl>
      <w:tblPr>
        <w:tblStyle w:val="TableGrid"/>
        <w:tblW w:w="14029" w:type="dxa"/>
        <w:tblLook w:val="04A0" w:firstRow="1" w:lastRow="0" w:firstColumn="1" w:lastColumn="0" w:noHBand="0" w:noVBand="1"/>
      </w:tblPr>
      <w:tblGrid>
        <w:gridCol w:w="3114"/>
        <w:gridCol w:w="10915"/>
      </w:tblGrid>
      <w:tr w:rsidR="00713D88" w:rsidRPr="007F0E8A" w14:paraId="66659099" w14:textId="77777777" w:rsidTr="00713D88">
        <w:tc>
          <w:tcPr>
            <w:tcW w:w="3114" w:type="dxa"/>
          </w:tcPr>
          <w:p w14:paraId="49F4A745" w14:textId="77777777" w:rsidR="00713D88" w:rsidRPr="007F0E8A" w:rsidRDefault="00713D88" w:rsidP="006E1C04">
            <w:pPr>
              <w:rPr>
                <w:b w:val="0"/>
                <w:bCs w:val="0"/>
              </w:rPr>
            </w:pPr>
            <w:r>
              <w:t>Additional notes for designer</w:t>
            </w:r>
          </w:p>
        </w:tc>
        <w:tc>
          <w:tcPr>
            <w:tcW w:w="10915" w:type="dxa"/>
          </w:tcPr>
          <w:p w14:paraId="49C1EA97" w14:textId="77777777" w:rsidR="00713D88" w:rsidRPr="005245E5" w:rsidRDefault="00713D88" w:rsidP="006E1C04">
            <w:r>
              <w:t>Answer</w:t>
            </w:r>
          </w:p>
        </w:tc>
      </w:tr>
      <w:tr w:rsidR="00713D88" w:rsidRPr="007F0E8A" w14:paraId="3DD9202D" w14:textId="77777777" w:rsidTr="00713D88">
        <w:tc>
          <w:tcPr>
            <w:tcW w:w="3114" w:type="dxa"/>
          </w:tcPr>
          <w:p w14:paraId="61692EDF" w14:textId="77777777" w:rsidR="00713D88" w:rsidRPr="007F0E8A" w:rsidRDefault="00713D88" w:rsidP="006E1C04">
            <w:pPr>
              <w:rPr>
                <w:b w:val="0"/>
                <w:bCs w:val="0"/>
              </w:rPr>
            </w:pPr>
            <w:r>
              <w:rPr>
                <w:b w:val="0"/>
                <w:bCs w:val="0"/>
              </w:rPr>
              <w:lastRenderedPageBreak/>
              <w:t>Any other details to include in brief which is sent to designers</w:t>
            </w:r>
          </w:p>
        </w:tc>
        <w:tc>
          <w:tcPr>
            <w:tcW w:w="10915" w:type="dxa"/>
          </w:tcPr>
          <w:p w14:paraId="1B38136E" w14:textId="77777777" w:rsidR="00713D88" w:rsidRDefault="00713D88">
            <w:r>
              <w:t>Include trial logo, Oxford Trauma &amp; Emergency Care, NDORMS, NIHR, University of Oxford, and Sponsor logos. Show recruitment numbers, key finding (no difference in infection). Add QR/link to whist.octru.ox.ac.uk.</w:t>
            </w:r>
          </w:p>
        </w:tc>
      </w:tr>
    </w:tbl>
    <w:p w14:paraId="4DB4345D" w14:textId="47C9D7B5" w:rsidR="0081582F" w:rsidRPr="0081582F" w:rsidRDefault="00A12D0F" w:rsidP="00741DB3">
      <w:r>
        <w:br/>
      </w:r>
    </w:p>
    <w:sectPr w:rsidR="0081582F" w:rsidRPr="0081582F" w:rsidSect="00A12D0F">
      <w:headerReference w:type="default" r:id="rId9"/>
      <w:footerReference w:type="default" r:id="rId10"/>
      <w:pgSz w:w="16838" w:h="11906" w:orient="landscape"/>
      <w:pgMar w:top="1440" w:right="1440" w:bottom="993" w:left="1440" w:header="708"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F0FA9" w14:textId="77777777" w:rsidR="002D68D7" w:rsidRDefault="002D68D7" w:rsidP="007D7480">
      <w:pPr>
        <w:spacing w:after="0" w:line="240" w:lineRule="auto"/>
      </w:pPr>
      <w:r>
        <w:separator/>
      </w:r>
    </w:p>
  </w:endnote>
  <w:endnote w:type="continuationSeparator" w:id="0">
    <w:p w14:paraId="142BA8E4" w14:textId="77777777" w:rsidR="002D68D7" w:rsidRDefault="002D68D7" w:rsidP="007D7480">
      <w:pPr>
        <w:spacing w:after="0" w:line="240" w:lineRule="auto"/>
      </w:pPr>
      <w:r>
        <w:continuationSeparator/>
      </w:r>
    </w:p>
  </w:endnote>
  <w:endnote w:type="continuationNotice" w:id="1">
    <w:p w14:paraId="5D5022BE" w14:textId="77777777" w:rsidR="002D68D7" w:rsidRDefault="002D6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BE901" w14:textId="77777777" w:rsidR="007D7480" w:rsidRDefault="007D7480" w:rsidP="00962A74">
    <w:pPr>
      <w:pStyle w:val="Footer"/>
      <w:ind w:left="-1134"/>
      <w:jc w:val="center"/>
    </w:pPr>
    <w:r>
      <w:t>Infographic</w:t>
    </w:r>
    <w:r w:rsidR="00962A74">
      <w:t xml:space="preserve"> </w:t>
    </w:r>
    <w:r>
      <w:t>Design</w:t>
    </w:r>
    <w:r w:rsidR="00962A74">
      <w:t xml:space="preserve"> </w:t>
    </w:r>
    <w:r>
      <w:t>Information</w:t>
    </w:r>
    <w:r w:rsidR="00962A74">
      <w:tab/>
    </w:r>
    <w:r w:rsidR="00962A74">
      <w:tab/>
      <w:t xml:space="preserve">   Last updated </w:t>
    </w:r>
    <w:r w:rsidR="000E63A8">
      <w:t>Aug</w:t>
    </w:r>
    <w: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467DE" w14:textId="77777777" w:rsidR="002D68D7" w:rsidRDefault="002D68D7" w:rsidP="007D7480">
      <w:pPr>
        <w:spacing w:after="0" w:line="240" w:lineRule="auto"/>
      </w:pPr>
      <w:r>
        <w:separator/>
      </w:r>
    </w:p>
  </w:footnote>
  <w:footnote w:type="continuationSeparator" w:id="0">
    <w:p w14:paraId="494B9783" w14:textId="77777777" w:rsidR="002D68D7" w:rsidRDefault="002D68D7" w:rsidP="007D7480">
      <w:pPr>
        <w:spacing w:after="0" w:line="240" w:lineRule="auto"/>
      </w:pPr>
      <w:r>
        <w:continuationSeparator/>
      </w:r>
    </w:p>
  </w:footnote>
  <w:footnote w:type="continuationNotice" w:id="1">
    <w:p w14:paraId="4EE06A86" w14:textId="77777777" w:rsidR="002D68D7" w:rsidRDefault="002D68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3D23C" w14:textId="77777777" w:rsidR="007D7480" w:rsidRDefault="007D7480" w:rsidP="007D7480">
    <w:pPr>
      <w:pStyle w:val="NormalWeb"/>
    </w:pPr>
    <w:r>
      <w:rPr>
        <w:noProof/>
      </w:rPr>
      <w:drawing>
        <wp:anchor distT="0" distB="0" distL="114300" distR="114300" simplePos="0" relativeHeight="251658240" behindDoc="0" locked="0" layoutInCell="1" allowOverlap="1" wp14:anchorId="28BB0D85" wp14:editId="2B025F24">
          <wp:simplePos x="0" y="0"/>
          <wp:positionH relativeFrom="margin">
            <wp:align>center</wp:align>
          </wp:positionH>
          <wp:positionV relativeFrom="paragraph">
            <wp:posOffset>-163830</wp:posOffset>
          </wp:positionV>
          <wp:extent cx="5731510" cy="494665"/>
          <wp:effectExtent l="0" t="0" r="2540" b="635"/>
          <wp:wrapSquare wrapText="bothSides"/>
          <wp:docPr id="1654913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494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480"/>
    <w:rsid w:val="0002643A"/>
    <w:rsid w:val="000A1D23"/>
    <w:rsid w:val="000E63A8"/>
    <w:rsid w:val="001E3272"/>
    <w:rsid w:val="002D68D7"/>
    <w:rsid w:val="002F36FC"/>
    <w:rsid w:val="002F689C"/>
    <w:rsid w:val="003532DE"/>
    <w:rsid w:val="003A1C81"/>
    <w:rsid w:val="003E2A83"/>
    <w:rsid w:val="00401CA7"/>
    <w:rsid w:val="00401E24"/>
    <w:rsid w:val="0048462D"/>
    <w:rsid w:val="00486298"/>
    <w:rsid w:val="004D2B01"/>
    <w:rsid w:val="00504E90"/>
    <w:rsid w:val="005205CA"/>
    <w:rsid w:val="005245E5"/>
    <w:rsid w:val="006326D8"/>
    <w:rsid w:val="0066001F"/>
    <w:rsid w:val="00695D47"/>
    <w:rsid w:val="006A6047"/>
    <w:rsid w:val="00713D88"/>
    <w:rsid w:val="00741DB3"/>
    <w:rsid w:val="007D7480"/>
    <w:rsid w:val="007F0E8A"/>
    <w:rsid w:val="0081582F"/>
    <w:rsid w:val="009341D7"/>
    <w:rsid w:val="00962A74"/>
    <w:rsid w:val="00966EDA"/>
    <w:rsid w:val="00976872"/>
    <w:rsid w:val="00A12D0F"/>
    <w:rsid w:val="00A166F9"/>
    <w:rsid w:val="00AB60C2"/>
    <w:rsid w:val="00AF7393"/>
    <w:rsid w:val="00B32890"/>
    <w:rsid w:val="00C26FEC"/>
    <w:rsid w:val="00C40BB8"/>
    <w:rsid w:val="00C6648B"/>
    <w:rsid w:val="00D15DDE"/>
    <w:rsid w:val="00D76EE1"/>
    <w:rsid w:val="00DF65F2"/>
    <w:rsid w:val="00E317CD"/>
    <w:rsid w:val="00E7260E"/>
    <w:rsid w:val="00F93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EB2EC"/>
  <w15:chartTrackingRefBased/>
  <w15:docId w15:val="{7B5D9241-94F9-49C7-B30C-7F42D4AC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b/>
        <w:bCs/>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4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74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74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74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74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74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74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74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74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4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74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74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74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74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74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74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74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7480"/>
    <w:rPr>
      <w:rFonts w:eastAsiaTheme="majorEastAsia" w:cstheme="majorBidi"/>
      <w:color w:val="272727" w:themeColor="text1" w:themeTint="D8"/>
    </w:rPr>
  </w:style>
  <w:style w:type="paragraph" w:styleId="Title">
    <w:name w:val="Title"/>
    <w:basedOn w:val="Normal"/>
    <w:next w:val="Normal"/>
    <w:link w:val="TitleChar"/>
    <w:uiPriority w:val="10"/>
    <w:qFormat/>
    <w:rsid w:val="007D74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74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74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4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7480"/>
    <w:pPr>
      <w:spacing w:before="160"/>
      <w:jc w:val="center"/>
    </w:pPr>
    <w:rPr>
      <w:i/>
      <w:iCs/>
      <w:color w:val="404040" w:themeColor="text1" w:themeTint="BF"/>
    </w:rPr>
  </w:style>
  <w:style w:type="character" w:customStyle="1" w:styleId="QuoteChar">
    <w:name w:val="Quote Char"/>
    <w:basedOn w:val="DefaultParagraphFont"/>
    <w:link w:val="Quote"/>
    <w:uiPriority w:val="29"/>
    <w:rsid w:val="007D7480"/>
    <w:rPr>
      <w:i/>
      <w:iCs/>
      <w:color w:val="404040" w:themeColor="text1" w:themeTint="BF"/>
    </w:rPr>
  </w:style>
  <w:style w:type="paragraph" w:styleId="ListParagraph">
    <w:name w:val="List Paragraph"/>
    <w:basedOn w:val="Normal"/>
    <w:uiPriority w:val="34"/>
    <w:qFormat/>
    <w:rsid w:val="007D7480"/>
    <w:pPr>
      <w:ind w:left="720"/>
      <w:contextualSpacing/>
    </w:pPr>
  </w:style>
  <w:style w:type="character" w:styleId="IntenseEmphasis">
    <w:name w:val="Intense Emphasis"/>
    <w:basedOn w:val="DefaultParagraphFont"/>
    <w:uiPriority w:val="21"/>
    <w:qFormat/>
    <w:rsid w:val="007D7480"/>
    <w:rPr>
      <w:i/>
      <w:iCs/>
      <w:color w:val="0F4761" w:themeColor="accent1" w:themeShade="BF"/>
    </w:rPr>
  </w:style>
  <w:style w:type="paragraph" w:styleId="IntenseQuote">
    <w:name w:val="Intense Quote"/>
    <w:basedOn w:val="Normal"/>
    <w:next w:val="Normal"/>
    <w:link w:val="IntenseQuoteChar"/>
    <w:uiPriority w:val="30"/>
    <w:qFormat/>
    <w:rsid w:val="007D74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7480"/>
    <w:rPr>
      <w:i/>
      <w:iCs/>
      <w:color w:val="0F4761" w:themeColor="accent1" w:themeShade="BF"/>
    </w:rPr>
  </w:style>
  <w:style w:type="character" w:styleId="IntenseReference">
    <w:name w:val="Intense Reference"/>
    <w:basedOn w:val="DefaultParagraphFont"/>
    <w:uiPriority w:val="32"/>
    <w:qFormat/>
    <w:rsid w:val="007D7480"/>
    <w:rPr>
      <w:b w:val="0"/>
      <w:bCs w:val="0"/>
      <w:smallCaps/>
      <w:color w:val="0F4761" w:themeColor="accent1" w:themeShade="BF"/>
      <w:spacing w:val="5"/>
    </w:rPr>
  </w:style>
  <w:style w:type="paragraph" w:styleId="Header">
    <w:name w:val="header"/>
    <w:basedOn w:val="Normal"/>
    <w:link w:val="HeaderChar"/>
    <w:uiPriority w:val="99"/>
    <w:unhideWhenUsed/>
    <w:rsid w:val="007D74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7480"/>
  </w:style>
  <w:style w:type="paragraph" w:styleId="Footer">
    <w:name w:val="footer"/>
    <w:basedOn w:val="Normal"/>
    <w:link w:val="FooterChar"/>
    <w:uiPriority w:val="99"/>
    <w:unhideWhenUsed/>
    <w:rsid w:val="007D74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7480"/>
  </w:style>
  <w:style w:type="paragraph" w:styleId="NormalWeb">
    <w:name w:val="Normal (Web)"/>
    <w:basedOn w:val="Normal"/>
    <w:uiPriority w:val="99"/>
    <w:unhideWhenUsed/>
    <w:rsid w:val="007D748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styleId="TableGrid">
    <w:name w:val="Table Grid"/>
    <w:basedOn w:val="TableNormal"/>
    <w:uiPriority w:val="39"/>
    <w:rsid w:val="00DF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93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0236549DF2CE438F3834698861A11A" ma:contentTypeVersion="16" ma:contentTypeDescription="Create a new document." ma:contentTypeScope="" ma:versionID="f456e28e3c3680fb5a2e18233eb139b3">
  <xsd:schema xmlns:xsd="http://www.w3.org/2001/XMLSchema" xmlns:xs="http://www.w3.org/2001/XMLSchema" xmlns:p="http://schemas.microsoft.com/office/2006/metadata/properties" xmlns:ns2="87b55ff9-0c83-43e2-b253-ab2ed4cb0285" xmlns:ns3="9f9ffdd9-42e1-4d45-aa85-adfb6d859571" targetNamespace="http://schemas.microsoft.com/office/2006/metadata/properties" ma:root="true" ma:fieldsID="1dc13796aa305ffeb8eb8598cb161211" ns2:_="" ns3:_="">
    <xsd:import namespace="87b55ff9-0c83-43e2-b253-ab2ed4cb0285"/>
    <xsd:import namespace="9f9ffdd9-42e1-4d45-aa85-adfb6d8595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b55ff9-0c83-43e2-b253-ab2ed4cb0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9ffdd9-42e1-4d45-aa85-adfb6d8595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d727a59-f031-4f22-8f97-3262e65c7fbb}" ma:internalName="TaxCatchAll" ma:showField="CatchAllData" ma:web="9f9ffdd9-42e1-4d45-aa85-adfb6d859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9ffdd9-42e1-4d45-aa85-adfb6d859571" xsi:nil="true"/>
    <lcf76f155ced4ddcb4097134ff3c332f xmlns="87b55ff9-0c83-43e2-b253-ab2ed4cb02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8273DD-3C7D-4D47-A287-BA923D0B158B}">
  <ds:schemaRefs>
    <ds:schemaRef ds:uri="http://schemas.microsoft.com/sharepoint/v3/contenttype/forms"/>
  </ds:schemaRefs>
</ds:datastoreItem>
</file>

<file path=customXml/itemProps2.xml><?xml version="1.0" encoding="utf-8"?>
<ds:datastoreItem xmlns:ds="http://schemas.openxmlformats.org/officeDocument/2006/customXml" ds:itemID="{CE8AA544-C683-4DA8-A01E-064D5D823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b55ff9-0c83-43e2-b253-ab2ed4cb0285"/>
    <ds:schemaRef ds:uri="9f9ffdd9-42e1-4d45-aa85-adfb6d859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384B37-77B1-4B8C-BE35-CBDAD8131AA4}">
  <ds:schemaRefs>
    <ds:schemaRef ds:uri="http://schemas.microsoft.com/office/2006/metadata/properties"/>
    <ds:schemaRef ds:uri="http://schemas.microsoft.com/office/infopath/2007/PartnerControls"/>
    <ds:schemaRef ds:uri="9f9ffdd9-42e1-4d45-aa85-adfb6d859571"/>
    <ds:schemaRef ds:uri="87b55ff9-0c83-43e2-b253-ab2ed4cb028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Ryan-Phillips</dc:creator>
  <cp:keywords/>
  <dc:description/>
  <cp:lastModifiedBy>Jessica Ryan-Phillips</cp:lastModifiedBy>
  <cp:revision>4</cp:revision>
  <dcterms:created xsi:type="dcterms:W3CDTF">2025-09-04T08:26:00Z</dcterms:created>
  <dcterms:modified xsi:type="dcterms:W3CDTF">2025-09-04T08:27:00Z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0x0101005C0236549DF2CE438F3834698861A11A</vt:lpwstr>
  </property>
  <property fmtid="{D5CDD505-2E9C-101B-9397-08002B2CF9AE}" pid="3" name="MediaServiceImageTags">
    <vt:lpwstr/>
  </property>
</Properties>
</file>