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D236B" w14:textId="77777777" w:rsidR="00C6648B" w:rsidRPr="00C26FEC" w:rsidRDefault="00741DB3" w:rsidP="00C26FEC">
      <w:pPr>
        <w:jc w:val="center"/>
      </w:pPr>
      <w:r w:rsidRPr="005245E5">
        <w:t>Infographic Design Information</w:t>
      </w:r>
      <w:r w:rsidR="00C26FEC">
        <w:br/>
      </w:r>
      <w:r w:rsidR="00C6648B" w:rsidRPr="005245E5">
        <w:rPr>
          <w:b w:val="0"/>
          <w:bCs w:val="0"/>
        </w:rPr>
        <w:t xml:space="preserve">For requests to submit to </w:t>
      </w:r>
      <w:proofErr w:type="spellStart"/>
      <w:r w:rsidR="00C6648B" w:rsidRPr="005245E5">
        <w:rPr>
          <w:b w:val="0"/>
          <w:bCs w:val="0"/>
        </w:rPr>
        <w:t>DesignCrowd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10773"/>
      </w:tblGrid>
      <w:tr w:rsidR="002E1077" w:rsidRPr="007F0E8A" w14:paraId="353770E9" w14:textId="77777777" w:rsidTr="002E1077">
        <w:tc>
          <w:tcPr>
            <w:tcW w:w="3114" w:type="dxa"/>
          </w:tcPr>
          <w:p w14:paraId="120477FF" w14:textId="77777777" w:rsidR="002E1077" w:rsidRPr="007F0E8A" w:rsidRDefault="002E1077" w:rsidP="00741DB3">
            <w:pPr>
              <w:rPr>
                <w:b w:val="0"/>
                <w:bCs w:val="0"/>
              </w:rPr>
            </w:pPr>
            <w:r w:rsidRPr="00AF7393">
              <w:t>Study information</w:t>
            </w:r>
          </w:p>
        </w:tc>
        <w:tc>
          <w:tcPr>
            <w:tcW w:w="10773" w:type="dxa"/>
          </w:tcPr>
          <w:p w14:paraId="507C26FC" w14:textId="77777777" w:rsidR="002E1077" w:rsidRPr="005245E5" w:rsidRDefault="002E1077" w:rsidP="00741DB3">
            <w:r>
              <w:t>Answer</w:t>
            </w:r>
          </w:p>
        </w:tc>
      </w:tr>
      <w:tr w:rsidR="002E1077" w:rsidRPr="007F0E8A" w14:paraId="4F31FBF0" w14:textId="77777777" w:rsidTr="002E1077">
        <w:tc>
          <w:tcPr>
            <w:tcW w:w="3114" w:type="dxa"/>
          </w:tcPr>
          <w:p w14:paraId="2AF3723D" w14:textId="77777777" w:rsidR="002E1077" w:rsidRPr="007F0E8A" w:rsidRDefault="002E1077" w:rsidP="00741DB3">
            <w:pPr>
              <w:rPr>
                <w:b w:val="0"/>
                <w:bCs w:val="0"/>
              </w:rPr>
            </w:pPr>
            <w:r w:rsidRPr="007F0E8A">
              <w:rPr>
                <w:b w:val="0"/>
                <w:bCs w:val="0"/>
              </w:rPr>
              <w:t>Study title</w:t>
            </w:r>
          </w:p>
        </w:tc>
        <w:tc>
          <w:tcPr>
            <w:tcW w:w="10773" w:type="dxa"/>
          </w:tcPr>
          <w:p w14:paraId="58724E99" w14:textId="77777777" w:rsidR="002E1077" w:rsidRDefault="002E1077">
            <w:r>
              <w:t>Effect of Locking Plate Fixation vs Intramedullary Nail Fixation on 6-Month Disability Among Adults With Displaced Fracture of the Distal Tibia: The UK FixDT Randomized Clinical Trial</w:t>
            </w:r>
          </w:p>
        </w:tc>
      </w:tr>
      <w:tr w:rsidR="002E1077" w:rsidRPr="007F0E8A" w14:paraId="4F04BBE2" w14:textId="77777777" w:rsidTr="002E1077">
        <w:tc>
          <w:tcPr>
            <w:tcW w:w="3114" w:type="dxa"/>
          </w:tcPr>
          <w:p w14:paraId="4B9B0EDD" w14:textId="77777777" w:rsidR="002E1077" w:rsidRPr="007F0E8A" w:rsidRDefault="002E1077" w:rsidP="00741DB3">
            <w:pPr>
              <w:rPr>
                <w:b w:val="0"/>
                <w:bCs w:val="0"/>
              </w:rPr>
            </w:pPr>
            <w:r w:rsidRPr="007F0E8A">
              <w:rPr>
                <w:b w:val="0"/>
                <w:bCs w:val="0"/>
              </w:rPr>
              <w:t xml:space="preserve">Study acronym </w:t>
            </w:r>
          </w:p>
        </w:tc>
        <w:tc>
          <w:tcPr>
            <w:tcW w:w="10773" w:type="dxa"/>
          </w:tcPr>
          <w:p w14:paraId="1696049C" w14:textId="77777777" w:rsidR="002E1077" w:rsidRDefault="002E1077">
            <w:r>
              <w:t>FixDT (Fixation of Distal Tibia Fractures)</w:t>
            </w:r>
          </w:p>
        </w:tc>
      </w:tr>
      <w:tr w:rsidR="002E1077" w:rsidRPr="007F0E8A" w14:paraId="134915D5" w14:textId="77777777" w:rsidTr="002E1077">
        <w:tc>
          <w:tcPr>
            <w:tcW w:w="3114" w:type="dxa"/>
          </w:tcPr>
          <w:p w14:paraId="03A8B87A" w14:textId="77777777" w:rsidR="002E1077" w:rsidRPr="007F0E8A" w:rsidRDefault="002E1077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Headline</w:t>
            </w:r>
          </w:p>
        </w:tc>
        <w:tc>
          <w:tcPr>
            <w:tcW w:w="10773" w:type="dxa"/>
          </w:tcPr>
          <w:p w14:paraId="7AB9DEF5" w14:textId="77777777" w:rsidR="002E1077" w:rsidRDefault="002E1077">
            <w:r>
              <w:t>Plates vs nails for broken shinbones: no difference at 6 months</w:t>
            </w:r>
          </w:p>
        </w:tc>
      </w:tr>
      <w:tr w:rsidR="002E1077" w:rsidRPr="007F0E8A" w14:paraId="66C2056B" w14:textId="77777777" w:rsidTr="002E1077">
        <w:tc>
          <w:tcPr>
            <w:tcW w:w="3114" w:type="dxa"/>
          </w:tcPr>
          <w:p w14:paraId="75D74CAA" w14:textId="77777777" w:rsidR="002E1077" w:rsidRPr="007F0E8A" w:rsidRDefault="002E1077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Study summary</w:t>
            </w:r>
          </w:p>
        </w:tc>
        <w:tc>
          <w:tcPr>
            <w:tcW w:w="10773" w:type="dxa"/>
          </w:tcPr>
          <w:p w14:paraId="5FA5101D" w14:textId="77777777" w:rsidR="002E1077" w:rsidRDefault="002E1077">
            <w:r>
              <w:t>321 adults with displaced fractures of the lower third of the tibia were randomised to intramedullary nail fixation or locking plate fixation at 28 UK hospitals. At 6 months, there was no significant difference in disability scores between the groups. Nail fixation showed some early (3-month) benefits, but by 12 months both approaches gave similar outcomes.</w:t>
            </w:r>
          </w:p>
        </w:tc>
      </w:tr>
      <w:tr w:rsidR="002E1077" w:rsidRPr="007F0E8A" w14:paraId="5DABC420" w14:textId="77777777" w:rsidTr="002E1077">
        <w:tc>
          <w:tcPr>
            <w:tcW w:w="3114" w:type="dxa"/>
          </w:tcPr>
          <w:p w14:paraId="3C56D37B" w14:textId="77777777" w:rsidR="002E1077" w:rsidRPr="007F0E8A" w:rsidRDefault="002E1077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Key messages/findings</w:t>
            </w:r>
          </w:p>
        </w:tc>
        <w:tc>
          <w:tcPr>
            <w:tcW w:w="10773" w:type="dxa"/>
          </w:tcPr>
          <w:p w14:paraId="69FBE7F4" w14:textId="115016CB" w:rsidR="002E1077" w:rsidRDefault="002E1077">
            <w:r>
              <w:t>• 321 adults randomised at 28 UK trauma centres.</w:t>
            </w:r>
            <w:r>
              <w:br/>
              <w:t>• No significant difference in disability at 6 months (primary outcome).</w:t>
            </w:r>
            <w:r>
              <w:br/>
              <w:t>• Nail fixation showed better function at 3 months, but no difference at 12 months.</w:t>
            </w:r>
            <w:r>
              <w:br/>
              <w:t>• No clear difference in complications or further surgery (though slightly more in plate group).</w:t>
            </w:r>
          </w:p>
        </w:tc>
      </w:tr>
      <w:tr w:rsidR="002E1077" w:rsidRPr="007F0E8A" w14:paraId="61787CBB" w14:textId="77777777" w:rsidTr="002E1077">
        <w:tc>
          <w:tcPr>
            <w:tcW w:w="3114" w:type="dxa"/>
          </w:tcPr>
          <w:p w14:paraId="218FF4BD" w14:textId="77777777" w:rsidR="002E1077" w:rsidRPr="007F0E8A" w:rsidRDefault="002E1077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Eligibility criteria (if relevant)</w:t>
            </w:r>
          </w:p>
        </w:tc>
        <w:tc>
          <w:tcPr>
            <w:tcW w:w="10773" w:type="dxa"/>
          </w:tcPr>
          <w:p w14:paraId="2AACCCD4" w14:textId="77777777" w:rsidR="002E1077" w:rsidRDefault="002E1077">
            <w:r>
              <w:t>Inclusion: age ≥16 years, acute displaced extra-articular distal tibia fracture requiring surgery. Exclusion: open fractures, fractures extending into the ankle joint, contraindication to nailing, contraindication to anaesthesia, inability to complete questionnaires.</w:t>
            </w:r>
          </w:p>
        </w:tc>
      </w:tr>
      <w:tr w:rsidR="002E1077" w:rsidRPr="007F0E8A" w14:paraId="03A29D2E" w14:textId="77777777" w:rsidTr="002E1077">
        <w:tc>
          <w:tcPr>
            <w:tcW w:w="3114" w:type="dxa"/>
          </w:tcPr>
          <w:p w14:paraId="6655F42A" w14:textId="77777777" w:rsidR="002E1077" w:rsidRPr="007F0E8A" w:rsidRDefault="002E1077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Study details (if relevant)</w:t>
            </w:r>
          </w:p>
        </w:tc>
        <w:tc>
          <w:tcPr>
            <w:tcW w:w="10773" w:type="dxa"/>
          </w:tcPr>
          <w:p w14:paraId="0A84CE1F" w14:textId="77777777" w:rsidR="002E1077" w:rsidRDefault="002E1077">
            <w:r>
              <w:t>Design: Pragmatic, multicentre RCT; Sites: 28 UK trauma hospitals; Recruitment: Apr 2013 – Apr 2016; Follow-up: 12 months; Sample: 321 randomised; Primary outcome: Disability Rating Index (DRI) at 6 months; Secondary: DRI at 3 &amp; 12 months, OMAS, EQ-5D, complications, further surgery; Trial registration: ISRCTN99771224.</w:t>
            </w:r>
          </w:p>
        </w:tc>
      </w:tr>
      <w:tr w:rsidR="002E1077" w:rsidRPr="007F0E8A" w14:paraId="329A4609" w14:textId="77777777" w:rsidTr="002E1077">
        <w:tc>
          <w:tcPr>
            <w:tcW w:w="3114" w:type="dxa"/>
          </w:tcPr>
          <w:p w14:paraId="1074AEAD" w14:textId="77777777" w:rsidR="002E1077" w:rsidRPr="007F0E8A" w:rsidRDefault="002E1077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Target audience</w:t>
            </w:r>
          </w:p>
        </w:tc>
        <w:tc>
          <w:tcPr>
            <w:tcW w:w="10773" w:type="dxa"/>
          </w:tcPr>
          <w:p w14:paraId="675DE8D4" w14:textId="488724A4" w:rsidR="002E1077" w:rsidRDefault="002E1077">
            <w:r>
              <w:t>Orthopaedic trauma surgeons, rehabilitation specialists, policy-makers, and patients.</w:t>
            </w:r>
          </w:p>
        </w:tc>
      </w:tr>
      <w:tr w:rsidR="002E1077" w:rsidRPr="007F0E8A" w14:paraId="4044CC81" w14:textId="77777777" w:rsidTr="002E1077">
        <w:tc>
          <w:tcPr>
            <w:tcW w:w="3114" w:type="dxa"/>
          </w:tcPr>
          <w:p w14:paraId="637DA54D" w14:textId="77777777" w:rsidR="002E1077" w:rsidRDefault="002E1077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Contact information</w:t>
            </w:r>
          </w:p>
        </w:tc>
        <w:tc>
          <w:tcPr>
            <w:tcW w:w="10773" w:type="dxa"/>
          </w:tcPr>
          <w:p w14:paraId="663B7999" w14:textId="77777777" w:rsidR="002E1077" w:rsidRDefault="002E1077">
            <w:r>
              <w:t>Chief Investigator: Prof. Matthew Costa, University of Oxford – matthew.costa@ndorms.ox.ac.uk</w:t>
            </w:r>
          </w:p>
        </w:tc>
      </w:tr>
      <w:tr w:rsidR="002E1077" w:rsidRPr="007F0E8A" w14:paraId="3D63DC66" w14:textId="77777777" w:rsidTr="002E1077">
        <w:tc>
          <w:tcPr>
            <w:tcW w:w="3114" w:type="dxa"/>
          </w:tcPr>
          <w:p w14:paraId="2A663739" w14:textId="77777777" w:rsidR="002E1077" w:rsidRDefault="002E1077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Sponsor name</w:t>
            </w:r>
          </w:p>
        </w:tc>
        <w:tc>
          <w:tcPr>
            <w:tcW w:w="10773" w:type="dxa"/>
          </w:tcPr>
          <w:p w14:paraId="2E614EB0" w14:textId="77777777" w:rsidR="002E1077" w:rsidRDefault="002E1077">
            <w:r>
              <w:t>University of Oxford</w:t>
            </w:r>
          </w:p>
        </w:tc>
      </w:tr>
      <w:tr w:rsidR="002E1077" w:rsidRPr="007F0E8A" w14:paraId="57763A2A" w14:textId="77777777" w:rsidTr="002E1077">
        <w:tc>
          <w:tcPr>
            <w:tcW w:w="3114" w:type="dxa"/>
          </w:tcPr>
          <w:p w14:paraId="3B0AFBB6" w14:textId="77777777" w:rsidR="002E1077" w:rsidRDefault="002E1077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Funder</w:t>
            </w:r>
          </w:p>
        </w:tc>
        <w:tc>
          <w:tcPr>
            <w:tcW w:w="10773" w:type="dxa"/>
          </w:tcPr>
          <w:p w14:paraId="2F6759F9" w14:textId="77777777" w:rsidR="002E1077" w:rsidRDefault="002E1077">
            <w:r>
              <w:t>NIHR Health Technology Assessment Programme (project 11/136/04); supported by NIHR Oxford Biomedical Research Centre and NIHR CLAHRC Oxford.</w:t>
            </w:r>
          </w:p>
        </w:tc>
      </w:tr>
    </w:tbl>
    <w:p w14:paraId="6DA23C31" w14:textId="77777777" w:rsidR="00741DB3" w:rsidRDefault="00741DB3" w:rsidP="00741DB3">
      <w:pPr>
        <w:rPr>
          <w:b w:val="0"/>
          <w:bCs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10773"/>
      </w:tblGrid>
      <w:tr w:rsidR="002E1077" w:rsidRPr="007F0E8A" w14:paraId="70478E32" w14:textId="77777777" w:rsidTr="002E1077">
        <w:tc>
          <w:tcPr>
            <w:tcW w:w="3114" w:type="dxa"/>
          </w:tcPr>
          <w:p w14:paraId="03EC02F7" w14:textId="77777777" w:rsidR="002E1077" w:rsidRPr="007F0E8A" w:rsidRDefault="002E1077" w:rsidP="006E1C04">
            <w:pPr>
              <w:rPr>
                <w:b w:val="0"/>
                <w:bCs w:val="0"/>
              </w:rPr>
            </w:pPr>
            <w:r>
              <w:t>Design information/branding</w:t>
            </w:r>
          </w:p>
        </w:tc>
        <w:tc>
          <w:tcPr>
            <w:tcW w:w="10773" w:type="dxa"/>
          </w:tcPr>
          <w:p w14:paraId="103A6512" w14:textId="77777777" w:rsidR="002E1077" w:rsidRPr="005245E5" w:rsidRDefault="002E1077" w:rsidP="006E1C04">
            <w:r>
              <w:t>Answer</w:t>
            </w:r>
          </w:p>
        </w:tc>
      </w:tr>
      <w:tr w:rsidR="002E1077" w:rsidRPr="007F0E8A" w14:paraId="4A0AB594" w14:textId="77777777" w:rsidTr="002E1077">
        <w:tc>
          <w:tcPr>
            <w:tcW w:w="3114" w:type="dxa"/>
          </w:tcPr>
          <w:p w14:paraId="4F3F6436" w14:textId="3D2712B9" w:rsidR="002E1077" w:rsidRPr="007F0E8A" w:rsidRDefault="002E1077" w:rsidP="006E1C04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Preferred colour scheme? </w:t>
            </w:r>
          </w:p>
        </w:tc>
        <w:tc>
          <w:tcPr>
            <w:tcW w:w="10773" w:type="dxa"/>
          </w:tcPr>
          <w:p w14:paraId="4DF44382" w14:textId="77777777" w:rsidR="002E1077" w:rsidRDefault="002E1077">
            <w:r>
              <w:t>Oxford blue with NIHR red/navy highlights.</w:t>
            </w:r>
          </w:p>
        </w:tc>
      </w:tr>
      <w:tr w:rsidR="002E1077" w:rsidRPr="007F0E8A" w14:paraId="12CA5CA9" w14:textId="77777777" w:rsidTr="002E1077">
        <w:tc>
          <w:tcPr>
            <w:tcW w:w="3114" w:type="dxa"/>
          </w:tcPr>
          <w:p w14:paraId="17E4D99E" w14:textId="77777777" w:rsidR="002E1077" w:rsidRPr="007F0E8A" w:rsidRDefault="002E1077" w:rsidP="006E1C04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Style and design preferences</w:t>
            </w:r>
          </w:p>
        </w:tc>
        <w:tc>
          <w:tcPr>
            <w:tcW w:w="10773" w:type="dxa"/>
          </w:tcPr>
          <w:p w14:paraId="417D36A0" w14:textId="77777777" w:rsidR="002E1077" w:rsidRDefault="002E1077">
            <w:r>
              <w:t>Clean, clinical, comparative visuals showing nail vs plate groups. Emphasise ‘no difference at 6 months’ with simple iconography for patients, hospitals, and timelines.</w:t>
            </w:r>
          </w:p>
        </w:tc>
      </w:tr>
    </w:tbl>
    <w:p w14:paraId="78516B13" w14:textId="77777777" w:rsidR="00976872" w:rsidRDefault="00976872" w:rsidP="00741DB3">
      <w:pPr>
        <w:rPr>
          <w:b w:val="0"/>
          <w:bCs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10773"/>
      </w:tblGrid>
      <w:tr w:rsidR="002E1077" w:rsidRPr="007F0E8A" w14:paraId="22135162" w14:textId="77777777" w:rsidTr="002E1077">
        <w:tc>
          <w:tcPr>
            <w:tcW w:w="3114" w:type="dxa"/>
          </w:tcPr>
          <w:p w14:paraId="6685B422" w14:textId="77777777" w:rsidR="002E1077" w:rsidRPr="007F0E8A" w:rsidRDefault="002E1077" w:rsidP="006E1C04">
            <w:pPr>
              <w:rPr>
                <w:b w:val="0"/>
                <w:bCs w:val="0"/>
              </w:rPr>
            </w:pPr>
            <w:r>
              <w:lastRenderedPageBreak/>
              <w:t>Additional notes for designer</w:t>
            </w:r>
          </w:p>
        </w:tc>
        <w:tc>
          <w:tcPr>
            <w:tcW w:w="10773" w:type="dxa"/>
          </w:tcPr>
          <w:p w14:paraId="325C5C56" w14:textId="77777777" w:rsidR="002E1077" w:rsidRPr="005245E5" w:rsidRDefault="002E1077" w:rsidP="006E1C04">
            <w:r>
              <w:t>Answer</w:t>
            </w:r>
          </w:p>
        </w:tc>
      </w:tr>
      <w:tr w:rsidR="002E1077" w:rsidRPr="007F0E8A" w14:paraId="5CF9CFB2" w14:textId="77777777" w:rsidTr="002E1077">
        <w:tc>
          <w:tcPr>
            <w:tcW w:w="3114" w:type="dxa"/>
          </w:tcPr>
          <w:p w14:paraId="5A25E32F" w14:textId="77777777" w:rsidR="002E1077" w:rsidRPr="007F0E8A" w:rsidRDefault="002E1077" w:rsidP="006E1C04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Any other details to include in brief which is sent to designers</w:t>
            </w:r>
          </w:p>
        </w:tc>
        <w:tc>
          <w:tcPr>
            <w:tcW w:w="10773" w:type="dxa"/>
          </w:tcPr>
          <w:p w14:paraId="7A895FF5" w14:textId="77777777" w:rsidR="002E1077" w:rsidRDefault="002E1077">
            <w:r>
              <w:t>Include logos: FixDT/Oxford Trauma &amp; Emergency Care, NDORMS, University of Oxford, NIHR, and Sponsor/NHS Trusts. Show key result panel: ‘No difference in disability at 6 months’. Add QR/link to FixDT trial page. Consider split graphic: Nail vs Plate with outcome timeline (3, 6, 12 months).</w:t>
            </w:r>
          </w:p>
        </w:tc>
      </w:tr>
    </w:tbl>
    <w:p w14:paraId="76A1C21F" w14:textId="1F062777" w:rsidR="0081582F" w:rsidRPr="0081582F" w:rsidRDefault="00A12D0F" w:rsidP="00741DB3">
      <w:r>
        <w:br/>
      </w:r>
    </w:p>
    <w:sectPr w:rsidR="0081582F" w:rsidRPr="0081582F" w:rsidSect="00A12D0F">
      <w:headerReference w:type="default" r:id="rId9"/>
      <w:footerReference w:type="default" r:id="rId10"/>
      <w:pgSz w:w="16838" w:h="11906" w:orient="landscape"/>
      <w:pgMar w:top="1440" w:right="1440" w:bottom="993" w:left="1440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5E0B3" w14:textId="77777777" w:rsidR="007D7480" w:rsidRDefault="007D7480" w:rsidP="007D7480">
      <w:pPr>
        <w:spacing w:after="0" w:line="240" w:lineRule="auto"/>
      </w:pPr>
      <w:r>
        <w:separator/>
      </w:r>
    </w:p>
  </w:endnote>
  <w:endnote w:type="continuationSeparator" w:id="0">
    <w:p w14:paraId="004D0569" w14:textId="77777777" w:rsidR="007D7480" w:rsidRDefault="007D7480" w:rsidP="007D7480">
      <w:pPr>
        <w:spacing w:after="0" w:line="240" w:lineRule="auto"/>
      </w:pPr>
      <w:r>
        <w:continuationSeparator/>
      </w:r>
    </w:p>
  </w:endnote>
  <w:endnote w:type="continuationNotice" w:id="1">
    <w:p w14:paraId="7DC72BD7" w14:textId="77777777" w:rsidR="003A1C81" w:rsidRDefault="003A1C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813EC" w14:textId="77777777" w:rsidR="007D7480" w:rsidRDefault="007D7480" w:rsidP="00962A74">
    <w:pPr>
      <w:pStyle w:val="Footer"/>
      <w:ind w:left="-1134"/>
      <w:jc w:val="center"/>
    </w:pPr>
    <w:r>
      <w:t>Infographic</w:t>
    </w:r>
    <w:r w:rsidR="00962A74">
      <w:t xml:space="preserve"> </w:t>
    </w:r>
    <w:r>
      <w:t>Design</w:t>
    </w:r>
    <w:r w:rsidR="00962A74">
      <w:t xml:space="preserve"> </w:t>
    </w:r>
    <w:r>
      <w:t>Information</w:t>
    </w:r>
    <w:r w:rsidR="00962A74">
      <w:tab/>
    </w:r>
    <w:r w:rsidR="00962A74">
      <w:tab/>
      <w:t xml:space="preserve">   Last updated </w:t>
    </w:r>
    <w:r w:rsidR="000E63A8">
      <w:t>Aug</w:t>
    </w:r>
    <w:r>
      <w:t>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679E2" w14:textId="77777777" w:rsidR="007D7480" w:rsidRDefault="007D7480" w:rsidP="007D7480">
      <w:pPr>
        <w:spacing w:after="0" w:line="240" w:lineRule="auto"/>
      </w:pPr>
      <w:r>
        <w:separator/>
      </w:r>
    </w:p>
  </w:footnote>
  <w:footnote w:type="continuationSeparator" w:id="0">
    <w:p w14:paraId="036495B4" w14:textId="77777777" w:rsidR="007D7480" w:rsidRDefault="007D7480" w:rsidP="007D7480">
      <w:pPr>
        <w:spacing w:after="0" w:line="240" w:lineRule="auto"/>
      </w:pPr>
      <w:r>
        <w:continuationSeparator/>
      </w:r>
    </w:p>
  </w:footnote>
  <w:footnote w:type="continuationNotice" w:id="1">
    <w:p w14:paraId="715083E1" w14:textId="77777777" w:rsidR="003A1C81" w:rsidRDefault="003A1C8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F91A8" w14:textId="77777777" w:rsidR="007D7480" w:rsidRDefault="007D7480" w:rsidP="007D7480">
    <w:pPr>
      <w:pStyle w:val="NormalWeb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BBF141E" wp14:editId="1C73C25B">
          <wp:simplePos x="0" y="0"/>
          <wp:positionH relativeFrom="margin">
            <wp:align>center</wp:align>
          </wp:positionH>
          <wp:positionV relativeFrom="paragraph">
            <wp:posOffset>-163830</wp:posOffset>
          </wp:positionV>
          <wp:extent cx="5731510" cy="494665"/>
          <wp:effectExtent l="0" t="0" r="2540" b="635"/>
          <wp:wrapSquare wrapText="bothSides"/>
          <wp:docPr id="165491330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494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480"/>
    <w:rsid w:val="0002643A"/>
    <w:rsid w:val="000E63A8"/>
    <w:rsid w:val="001B3540"/>
    <w:rsid w:val="001E3272"/>
    <w:rsid w:val="002E1077"/>
    <w:rsid w:val="002F36FC"/>
    <w:rsid w:val="002F689C"/>
    <w:rsid w:val="003532DE"/>
    <w:rsid w:val="003A1C81"/>
    <w:rsid w:val="003B4452"/>
    <w:rsid w:val="003E2A83"/>
    <w:rsid w:val="00401CA7"/>
    <w:rsid w:val="00401E24"/>
    <w:rsid w:val="00486298"/>
    <w:rsid w:val="004B2271"/>
    <w:rsid w:val="005205CA"/>
    <w:rsid w:val="005245E5"/>
    <w:rsid w:val="0066001F"/>
    <w:rsid w:val="00695D47"/>
    <w:rsid w:val="00741DB3"/>
    <w:rsid w:val="007D7480"/>
    <w:rsid w:val="007F0E8A"/>
    <w:rsid w:val="0081582F"/>
    <w:rsid w:val="009341D7"/>
    <w:rsid w:val="00962A74"/>
    <w:rsid w:val="00966EDA"/>
    <w:rsid w:val="00976872"/>
    <w:rsid w:val="00A12D0F"/>
    <w:rsid w:val="00A166F9"/>
    <w:rsid w:val="00AB60C2"/>
    <w:rsid w:val="00AF7393"/>
    <w:rsid w:val="00B32890"/>
    <w:rsid w:val="00C26FEC"/>
    <w:rsid w:val="00C6648B"/>
    <w:rsid w:val="00C9012E"/>
    <w:rsid w:val="00D15DDE"/>
    <w:rsid w:val="00D76EE1"/>
    <w:rsid w:val="00DF65F2"/>
    <w:rsid w:val="00E317CD"/>
    <w:rsid w:val="00E72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76BAB40"/>
  <w15:chartTrackingRefBased/>
  <w15:docId w15:val="{7B5D9241-94F9-49C7-B30C-7F42D4AC3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b/>
        <w:bCs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74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74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748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74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748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74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74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74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74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748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748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748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748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748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748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748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748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748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74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74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74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D74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74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D748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748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D748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74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748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7480"/>
    <w:rPr>
      <w:b w:val="0"/>
      <w:bCs w:val="0"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D74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7480"/>
  </w:style>
  <w:style w:type="paragraph" w:styleId="Footer">
    <w:name w:val="footer"/>
    <w:basedOn w:val="Normal"/>
    <w:link w:val="FooterChar"/>
    <w:uiPriority w:val="99"/>
    <w:unhideWhenUsed/>
    <w:rsid w:val="007D74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7480"/>
  </w:style>
  <w:style w:type="paragraph" w:styleId="NormalWeb">
    <w:name w:val="Normal (Web)"/>
    <w:basedOn w:val="Normal"/>
    <w:uiPriority w:val="99"/>
    <w:unhideWhenUsed/>
    <w:rsid w:val="007D7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table" w:styleId="TableGrid">
    <w:name w:val="Table Grid"/>
    <w:basedOn w:val="TableNormal"/>
    <w:uiPriority w:val="39"/>
    <w:rsid w:val="00DF6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69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0236549DF2CE438F3834698861A11A" ma:contentTypeVersion="16" ma:contentTypeDescription="Create a new document." ma:contentTypeScope="" ma:versionID="f456e28e3c3680fb5a2e18233eb139b3">
  <xsd:schema xmlns:xsd="http://www.w3.org/2001/XMLSchema" xmlns:xs="http://www.w3.org/2001/XMLSchema" xmlns:p="http://schemas.microsoft.com/office/2006/metadata/properties" xmlns:ns2="87b55ff9-0c83-43e2-b253-ab2ed4cb0285" xmlns:ns3="9f9ffdd9-42e1-4d45-aa85-adfb6d859571" targetNamespace="http://schemas.microsoft.com/office/2006/metadata/properties" ma:root="true" ma:fieldsID="1dc13796aa305ffeb8eb8598cb161211" ns2:_="" ns3:_="">
    <xsd:import namespace="87b55ff9-0c83-43e2-b253-ab2ed4cb0285"/>
    <xsd:import namespace="9f9ffdd9-42e1-4d45-aa85-adfb6d8595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55ff9-0c83-43e2-b253-ab2ed4cb02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9ffdd9-42e1-4d45-aa85-adfb6d85957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d727a59-f031-4f22-8f97-3262e65c7fbb}" ma:internalName="TaxCatchAll" ma:showField="CatchAllData" ma:web="9f9ffdd9-42e1-4d45-aa85-adfb6d8595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9ffdd9-42e1-4d45-aa85-adfb6d859571" xsi:nil="true"/>
    <lcf76f155ced4ddcb4097134ff3c332f xmlns="87b55ff9-0c83-43e2-b253-ab2ed4cb028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98273DD-3C7D-4D47-A287-BA923D0B15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8AA544-C683-4DA8-A01E-064D5D823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b55ff9-0c83-43e2-b253-ab2ed4cb0285"/>
    <ds:schemaRef ds:uri="9f9ffdd9-42e1-4d45-aa85-adfb6d8595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384B37-77B1-4B8C-BE35-CBDAD8131AA4}">
  <ds:schemaRefs>
    <ds:schemaRef ds:uri="http://schemas.microsoft.com/office/2006/metadata/properties"/>
    <ds:schemaRef ds:uri="http://schemas.microsoft.com/office/infopath/2007/PartnerControls"/>
    <ds:schemaRef ds:uri="9f9ffdd9-42e1-4d45-aa85-adfb6d859571"/>
    <ds:schemaRef ds:uri="87b55ff9-0c83-43e2-b253-ab2ed4cb028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430</Words>
  <Characters>2456</Characters>
  <Application>Microsoft Office Word</Application>
  <DocSecurity>0</DocSecurity>
  <Lines>20</Lines>
  <Paragraphs>5</Paragraphs>
  <ScaleCrop>false</ScaleCrop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Ryan-Phillips</dc:creator>
  <cp:keywords/>
  <dc:description/>
  <cp:lastModifiedBy>Jessica Ryan-Phillips</cp:lastModifiedBy>
  <cp:revision>3</cp:revision>
  <dcterms:created xsi:type="dcterms:W3CDTF">2025-09-04T08:31:00Z</dcterms:created>
  <dcterms:modified xsi:type="dcterms:W3CDTF">2025-09-04T08:32:00Z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0x0101005C0236549DF2CE438F3834698861A11A</vt:lpwstr>
  </property>
  <property fmtid="{D5CDD505-2E9C-101B-9397-08002B2CF9AE}" pid="3" name="MediaServiceImageTags">
    <vt:lpwstr/>
  </property>
</Properties>
</file>