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6E65" w14:textId="205F051C" w:rsidR="003938A7" w:rsidRDefault="008458CF">
      <w:r>
        <w:t>Tiburon is actively leasing in Ohio to execute its lease and drill strategy.</w:t>
      </w:r>
    </w:p>
    <w:sectPr w:rsidR="00393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CF"/>
    <w:rsid w:val="003938A7"/>
    <w:rsid w:val="0084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DDDEA"/>
  <w15:chartTrackingRefBased/>
  <w15:docId w15:val="{5F6B4CFE-0BC6-496B-B172-FF8B83FA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E5AF5-0C15-4D7D-81D9-B2D6C837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Hudson</dc:creator>
  <cp:keywords/>
  <dc:description/>
  <cp:lastModifiedBy>Scott Hudson</cp:lastModifiedBy>
  <cp:revision>1</cp:revision>
  <dcterms:created xsi:type="dcterms:W3CDTF">2023-05-29T21:34:00Z</dcterms:created>
  <dcterms:modified xsi:type="dcterms:W3CDTF">2023-05-29T21:38:00Z</dcterms:modified>
</cp:coreProperties>
</file>