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99B6A" w14:textId="77777777" w:rsidR="00CA1BA5" w:rsidRDefault="00CA1BA5" w:rsidP="00CA1BA5">
      <w:pPr>
        <w:pStyle w:val="Default"/>
      </w:pPr>
    </w:p>
    <w:p w14:paraId="002C073B" w14:textId="6B25BB7B" w:rsidR="00CA1BA5" w:rsidRDefault="00CA1BA5" w:rsidP="00CA1BA5">
      <w:pPr>
        <w:pStyle w:val="Default"/>
        <w:jc w:val="center"/>
        <w:rPr>
          <w:sz w:val="23"/>
          <w:szCs w:val="23"/>
        </w:rPr>
      </w:pPr>
      <w:r>
        <w:rPr>
          <w:b/>
          <w:bCs/>
          <w:sz w:val="23"/>
          <w:szCs w:val="23"/>
        </w:rPr>
        <w:t>LTC PROPERTIES, INC.</w:t>
      </w:r>
    </w:p>
    <w:p w14:paraId="341E0E1E" w14:textId="28BA5108" w:rsidR="00CA1BA5" w:rsidRDefault="00CA1BA5" w:rsidP="00CA1BA5">
      <w:pPr>
        <w:pStyle w:val="Default"/>
        <w:jc w:val="center"/>
        <w:rPr>
          <w:b/>
          <w:bCs/>
          <w:sz w:val="23"/>
          <w:szCs w:val="23"/>
        </w:rPr>
      </w:pPr>
      <w:r>
        <w:rPr>
          <w:b/>
          <w:bCs/>
          <w:sz w:val="23"/>
          <w:szCs w:val="23"/>
        </w:rPr>
        <w:t xml:space="preserve">ENVIRONMENTAL </w:t>
      </w:r>
      <w:r w:rsidR="00A0485C">
        <w:rPr>
          <w:b/>
          <w:bCs/>
          <w:sz w:val="23"/>
          <w:szCs w:val="23"/>
        </w:rPr>
        <w:t xml:space="preserve">SUSTAINABILITY </w:t>
      </w:r>
      <w:r w:rsidR="00F56EFC">
        <w:rPr>
          <w:b/>
          <w:bCs/>
          <w:sz w:val="23"/>
          <w:szCs w:val="23"/>
        </w:rPr>
        <w:t>POLICY</w:t>
      </w:r>
    </w:p>
    <w:p w14:paraId="0A6CE291" w14:textId="77777777" w:rsidR="00CA1BA5" w:rsidRDefault="00CA1BA5" w:rsidP="00CA1BA5">
      <w:pPr>
        <w:pStyle w:val="Default"/>
        <w:jc w:val="center"/>
        <w:rPr>
          <w:sz w:val="23"/>
          <w:szCs w:val="23"/>
        </w:rPr>
      </w:pPr>
    </w:p>
    <w:p w14:paraId="4BAC0A44" w14:textId="5843E93D" w:rsidR="00D46D8C" w:rsidRDefault="008270F9" w:rsidP="00345297">
      <w:pPr>
        <w:pStyle w:val="Default"/>
      </w:pPr>
      <w:r>
        <w:rPr>
          <w:sz w:val="23"/>
          <w:szCs w:val="23"/>
        </w:rPr>
        <w:t xml:space="preserve">As owner and capital provider to over 200 properties, LTC recognizes the impact the real estate sector can have on </w:t>
      </w:r>
      <w:r w:rsidR="00D46D8C">
        <w:rPr>
          <w:sz w:val="23"/>
          <w:szCs w:val="23"/>
        </w:rPr>
        <w:t>our planet and its natural resources</w:t>
      </w:r>
      <w:r>
        <w:rPr>
          <w:sz w:val="23"/>
          <w:szCs w:val="23"/>
        </w:rPr>
        <w:t xml:space="preserve"> through land change, energy use, greenhouse gas emissions, </w:t>
      </w:r>
      <w:r w:rsidR="00345297">
        <w:rPr>
          <w:sz w:val="23"/>
          <w:szCs w:val="23"/>
        </w:rPr>
        <w:t xml:space="preserve">and other </w:t>
      </w:r>
      <w:r w:rsidR="00D46D8C">
        <w:rPr>
          <w:sz w:val="23"/>
          <w:szCs w:val="23"/>
        </w:rPr>
        <w:t xml:space="preserve">environmental </w:t>
      </w:r>
      <w:r w:rsidR="00345297">
        <w:rPr>
          <w:sz w:val="23"/>
          <w:szCs w:val="23"/>
        </w:rPr>
        <w:t>factors</w:t>
      </w:r>
      <w:r w:rsidR="00FF221C" w:rsidRPr="0094176D">
        <w:rPr>
          <w:sz w:val="23"/>
          <w:szCs w:val="23"/>
        </w:rPr>
        <w:t>.</w:t>
      </w:r>
      <w:r w:rsidR="00FF221C" w:rsidRPr="00FF221C">
        <w:rPr>
          <w:sz w:val="23"/>
          <w:szCs w:val="23"/>
        </w:rPr>
        <w:t xml:space="preserve"> </w:t>
      </w:r>
      <w:r w:rsidR="00345297" w:rsidRPr="00345297">
        <w:t xml:space="preserve"> </w:t>
      </w:r>
    </w:p>
    <w:p w14:paraId="63BB0CBA" w14:textId="77777777" w:rsidR="00D46D8C" w:rsidRDefault="00D46D8C" w:rsidP="00345297">
      <w:pPr>
        <w:pStyle w:val="Default"/>
      </w:pPr>
    </w:p>
    <w:p w14:paraId="7E23EAAE" w14:textId="5C5FD6AA" w:rsidR="00D74129" w:rsidRDefault="00345297" w:rsidP="00345297">
      <w:pPr>
        <w:pStyle w:val="Default"/>
        <w:rPr>
          <w:sz w:val="23"/>
          <w:szCs w:val="23"/>
        </w:rPr>
      </w:pPr>
      <w:r>
        <w:t xml:space="preserve">LTC </w:t>
      </w:r>
      <w:r w:rsidRPr="00345297">
        <w:rPr>
          <w:sz w:val="23"/>
          <w:szCs w:val="23"/>
        </w:rPr>
        <w:t xml:space="preserve">is committed to implementing </w:t>
      </w:r>
      <w:proofErr w:type="gramStart"/>
      <w:r w:rsidRPr="00345297">
        <w:rPr>
          <w:sz w:val="23"/>
          <w:szCs w:val="23"/>
        </w:rPr>
        <w:t>environmentally-sustainable</w:t>
      </w:r>
      <w:proofErr w:type="gramEnd"/>
      <w:r w:rsidRPr="00345297">
        <w:rPr>
          <w:sz w:val="23"/>
          <w:szCs w:val="23"/>
        </w:rPr>
        <w:t xml:space="preserve"> best</w:t>
      </w:r>
      <w:r>
        <w:rPr>
          <w:sz w:val="23"/>
          <w:szCs w:val="23"/>
        </w:rPr>
        <w:t xml:space="preserve"> </w:t>
      </w:r>
      <w:r w:rsidRPr="00345297">
        <w:rPr>
          <w:sz w:val="23"/>
          <w:szCs w:val="23"/>
        </w:rPr>
        <w:t xml:space="preserve">practices for our own operations, and to encouraging, incentivizing and assisting our </w:t>
      </w:r>
      <w:r w:rsidR="00975C66" w:rsidRPr="00920683">
        <w:rPr>
          <w:sz w:val="23"/>
          <w:szCs w:val="23"/>
        </w:rPr>
        <w:t xml:space="preserve">lessees and borrowers (“operators”) </w:t>
      </w:r>
      <w:r w:rsidRPr="00345297">
        <w:rPr>
          <w:sz w:val="23"/>
          <w:szCs w:val="23"/>
        </w:rPr>
        <w:t>in their efforts to address environmental opportunities and challenges</w:t>
      </w:r>
      <w:r>
        <w:rPr>
          <w:sz w:val="23"/>
          <w:szCs w:val="23"/>
        </w:rPr>
        <w:t xml:space="preserve">.  </w:t>
      </w:r>
      <w:r w:rsidR="00D74129">
        <w:rPr>
          <w:sz w:val="23"/>
          <w:szCs w:val="23"/>
        </w:rPr>
        <w:t>Through sustainable practices and operator</w:t>
      </w:r>
      <w:r w:rsidR="00BE332E">
        <w:rPr>
          <w:sz w:val="23"/>
          <w:szCs w:val="23"/>
        </w:rPr>
        <w:t xml:space="preserve"> support, LTC is taking action to reduce our impact, and the impact of our properties and those who use them, on the environment.</w:t>
      </w:r>
    </w:p>
    <w:p w14:paraId="77BD1E95" w14:textId="3B443A0A" w:rsidR="00D74129" w:rsidRDefault="00D74129" w:rsidP="00345297">
      <w:pPr>
        <w:pStyle w:val="Default"/>
        <w:rPr>
          <w:sz w:val="23"/>
          <w:szCs w:val="23"/>
        </w:rPr>
      </w:pPr>
    </w:p>
    <w:p w14:paraId="55823199" w14:textId="1FFC5BDB" w:rsidR="00543F2F" w:rsidRDefault="00477F8B" w:rsidP="00477F8B">
      <w:pPr>
        <w:pStyle w:val="NoSpacing"/>
        <w:rPr>
          <w:rFonts w:ascii="Calibri" w:hAnsi="Calibri" w:cstheme="minorHAnsi"/>
          <w:color w:val="000000"/>
          <w:sz w:val="23"/>
          <w:szCs w:val="23"/>
        </w:rPr>
      </w:pPr>
      <w:r w:rsidRPr="00BA3DAC">
        <w:rPr>
          <w:rFonts w:ascii="Calibri" w:hAnsi="Calibri" w:cstheme="minorHAnsi"/>
          <w:color w:val="000000"/>
          <w:sz w:val="23"/>
          <w:szCs w:val="23"/>
        </w:rPr>
        <w:t xml:space="preserve">The development and maintenance of </w:t>
      </w:r>
      <w:r w:rsidR="006A2E0B">
        <w:rPr>
          <w:rFonts w:ascii="Calibri" w:hAnsi="Calibri" w:cstheme="minorHAnsi"/>
          <w:color w:val="000000"/>
          <w:sz w:val="23"/>
          <w:szCs w:val="23"/>
        </w:rPr>
        <w:t>our environmental</w:t>
      </w:r>
      <w:r w:rsidRPr="00BA3DAC">
        <w:rPr>
          <w:rFonts w:ascii="Calibri" w:hAnsi="Calibri" w:cstheme="minorHAnsi"/>
          <w:color w:val="000000"/>
          <w:sz w:val="23"/>
          <w:szCs w:val="23"/>
        </w:rPr>
        <w:t xml:space="preserve"> polic</w:t>
      </w:r>
      <w:r w:rsidR="006A2E0B">
        <w:rPr>
          <w:rFonts w:ascii="Calibri" w:hAnsi="Calibri" w:cstheme="minorHAnsi"/>
          <w:color w:val="000000"/>
          <w:sz w:val="23"/>
          <w:szCs w:val="23"/>
        </w:rPr>
        <w:t xml:space="preserve">ies and programs </w:t>
      </w:r>
      <w:r w:rsidRPr="00BA3DAC">
        <w:rPr>
          <w:rFonts w:ascii="Calibri" w:hAnsi="Calibri" w:cstheme="minorHAnsi"/>
          <w:color w:val="000000"/>
          <w:sz w:val="23"/>
          <w:szCs w:val="23"/>
        </w:rPr>
        <w:t xml:space="preserve">is a company-wide effort </w:t>
      </w:r>
      <w:r w:rsidR="006A2E0B">
        <w:rPr>
          <w:rFonts w:ascii="Calibri" w:hAnsi="Calibri" w:cstheme="minorHAnsi"/>
          <w:color w:val="000000"/>
          <w:sz w:val="23"/>
          <w:szCs w:val="23"/>
        </w:rPr>
        <w:t xml:space="preserve">led </w:t>
      </w:r>
      <w:r w:rsidRPr="00BA3DAC">
        <w:rPr>
          <w:rFonts w:ascii="Calibri" w:hAnsi="Calibri" w:cstheme="minorHAnsi"/>
          <w:color w:val="000000"/>
          <w:sz w:val="23"/>
          <w:szCs w:val="23"/>
        </w:rPr>
        <w:t xml:space="preserve">by </w:t>
      </w:r>
      <w:r w:rsidR="006A2E0B">
        <w:rPr>
          <w:rFonts w:ascii="Calibri" w:hAnsi="Calibri" w:cstheme="minorHAnsi"/>
          <w:color w:val="000000"/>
          <w:sz w:val="23"/>
          <w:szCs w:val="23"/>
        </w:rPr>
        <w:t xml:space="preserve">an internal working group and our executive team.  </w:t>
      </w:r>
      <w:r w:rsidR="00543F2F" w:rsidRPr="00543F2F">
        <w:rPr>
          <w:rFonts w:ascii="Calibri" w:hAnsi="Calibri" w:cstheme="minorHAnsi"/>
          <w:color w:val="000000"/>
          <w:sz w:val="23"/>
          <w:szCs w:val="23"/>
        </w:rPr>
        <w:t>We will review and evaluate this policy at least annually.  All employees will receive a copy of this policy.</w:t>
      </w:r>
    </w:p>
    <w:p w14:paraId="5C7E881E" w14:textId="77777777" w:rsidR="00543F2F" w:rsidRDefault="00543F2F" w:rsidP="00477F8B">
      <w:pPr>
        <w:pStyle w:val="NoSpacing"/>
        <w:rPr>
          <w:rFonts w:ascii="Calibri" w:hAnsi="Calibri" w:cstheme="minorHAnsi"/>
          <w:color w:val="000000"/>
          <w:sz w:val="23"/>
          <w:szCs w:val="23"/>
        </w:rPr>
      </w:pPr>
    </w:p>
    <w:p w14:paraId="00DE7791" w14:textId="6161F4C7" w:rsidR="00477F8B" w:rsidRPr="006A2E0B" w:rsidRDefault="006A2E0B" w:rsidP="00477F8B">
      <w:pPr>
        <w:pStyle w:val="NoSpacing"/>
        <w:rPr>
          <w:rFonts w:ascii="Calibri" w:hAnsi="Calibri" w:cstheme="minorHAnsi"/>
          <w:color w:val="000000"/>
          <w:sz w:val="23"/>
          <w:szCs w:val="23"/>
        </w:rPr>
      </w:pPr>
      <w:r>
        <w:rPr>
          <w:rFonts w:ascii="Calibri" w:hAnsi="Calibri" w:cstheme="minorHAnsi"/>
          <w:color w:val="000000"/>
          <w:sz w:val="23"/>
          <w:szCs w:val="23"/>
        </w:rPr>
        <w:t xml:space="preserve">In addition, </w:t>
      </w:r>
      <w:r w:rsidR="00D46D8C">
        <w:rPr>
          <w:rFonts w:ascii="Calibri" w:hAnsi="Calibri" w:cstheme="minorHAnsi"/>
          <w:color w:val="000000"/>
          <w:sz w:val="23"/>
          <w:szCs w:val="23"/>
        </w:rPr>
        <w:t>the</w:t>
      </w:r>
      <w:r w:rsidR="00477F8B" w:rsidRPr="00BA3DAC">
        <w:rPr>
          <w:rFonts w:ascii="Calibri" w:hAnsi="Calibri" w:cstheme="minorHAnsi"/>
          <w:color w:val="000000"/>
          <w:sz w:val="23"/>
          <w:szCs w:val="23"/>
        </w:rPr>
        <w:t xml:space="preserve"> Environmental, Social and Governance Committee</w:t>
      </w:r>
      <w:r w:rsidR="007E13FD" w:rsidRPr="00BA3DAC">
        <w:rPr>
          <w:rFonts w:ascii="Calibri" w:hAnsi="Calibri" w:cstheme="minorHAnsi"/>
          <w:color w:val="000000"/>
          <w:sz w:val="23"/>
          <w:szCs w:val="23"/>
        </w:rPr>
        <w:t xml:space="preserve"> (the “Committee”)</w:t>
      </w:r>
      <w:r>
        <w:rPr>
          <w:rFonts w:ascii="Calibri" w:hAnsi="Calibri" w:cstheme="minorHAnsi"/>
          <w:color w:val="000000"/>
          <w:sz w:val="23"/>
          <w:szCs w:val="23"/>
        </w:rPr>
        <w:t xml:space="preserve"> </w:t>
      </w:r>
      <w:r w:rsidR="00D46D8C">
        <w:rPr>
          <w:rFonts w:ascii="Calibri" w:hAnsi="Calibri" w:cstheme="minorHAnsi"/>
          <w:color w:val="000000"/>
          <w:sz w:val="23"/>
          <w:szCs w:val="23"/>
        </w:rPr>
        <w:t xml:space="preserve">of LTC’s Board of Directors </w:t>
      </w:r>
      <w:r>
        <w:rPr>
          <w:rFonts w:ascii="Calibri" w:hAnsi="Calibri" w:cstheme="minorHAnsi"/>
          <w:color w:val="000000"/>
          <w:sz w:val="23"/>
          <w:szCs w:val="23"/>
        </w:rPr>
        <w:t>oversees the progress of our environmental policies and programs</w:t>
      </w:r>
      <w:r w:rsidR="00477F8B" w:rsidRPr="00BA3DAC">
        <w:rPr>
          <w:rFonts w:ascii="Calibri" w:hAnsi="Calibri" w:cstheme="minorHAnsi"/>
          <w:color w:val="000000"/>
          <w:sz w:val="23"/>
          <w:szCs w:val="23"/>
        </w:rPr>
        <w:t xml:space="preserve">. </w:t>
      </w:r>
      <w:r w:rsidR="007E13FD" w:rsidRPr="00BA3DAC">
        <w:rPr>
          <w:rFonts w:ascii="Calibri" w:hAnsi="Calibri" w:cstheme="minorHAnsi"/>
          <w:color w:val="000000"/>
          <w:sz w:val="23"/>
          <w:szCs w:val="23"/>
        </w:rPr>
        <w:t xml:space="preserve"> </w:t>
      </w:r>
      <w:r w:rsidR="00BA3DAC" w:rsidRPr="00BA3DAC">
        <w:rPr>
          <w:rFonts w:ascii="Calibri" w:hAnsi="Calibri" w:cstheme="minorHAnsi"/>
          <w:color w:val="000000"/>
          <w:sz w:val="23"/>
          <w:szCs w:val="23"/>
        </w:rPr>
        <w:t xml:space="preserve">The Charter of the Committee explains </w:t>
      </w:r>
      <w:r w:rsidR="00BA3DAC">
        <w:rPr>
          <w:rFonts w:ascii="Calibri" w:hAnsi="Calibri" w:cstheme="minorHAnsi"/>
          <w:color w:val="000000"/>
          <w:sz w:val="23"/>
          <w:szCs w:val="23"/>
        </w:rPr>
        <w:t>the Committee’s</w:t>
      </w:r>
      <w:r w:rsidR="00BA3DAC" w:rsidRPr="00BA3DAC">
        <w:rPr>
          <w:rFonts w:ascii="Calibri" w:hAnsi="Calibri" w:cstheme="minorHAnsi"/>
          <w:color w:val="000000"/>
          <w:sz w:val="23"/>
          <w:szCs w:val="23"/>
        </w:rPr>
        <w:t xml:space="preserve"> purpose and responsibilities</w:t>
      </w:r>
      <w:r w:rsidR="00543F2F">
        <w:rPr>
          <w:rFonts w:ascii="Calibri" w:hAnsi="Calibri" w:cstheme="minorHAnsi"/>
          <w:color w:val="000000"/>
          <w:sz w:val="23"/>
          <w:szCs w:val="23"/>
        </w:rPr>
        <w:t>. The Charter and this policy are</w:t>
      </w:r>
      <w:r w:rsidR="00BA3DAC" w:rsidRPr="00BA3DAC">
        <w:rPr>
          <w:rFonts w:ascii="Calibri" w:hAnsi="Calibri" w:cstheme="minorHAnsi"/>
          <w:color w:val="000000"/>
          <w:sz w:val="23"/>
          <w:szCs w:val="23"/>
        </w:rPr>
        <w:t xml:space="preserve"> a</w:t>
      </w:r>
      <w:r w:rsidR="00BA3DAC">
        <w:rPr>
          <w:rFonts w:ascii="Calibri" w:hAnsi="Calibri" w:cstheme="minorHAnsi"/>
          <w:color w:val="000000"/>
          <w:sz w:val="23"/>
          <w:szCs w:val="23"/>
        </w:rPr>
        <w:t xml:space="preserve">ccessible </w:t>
      </w:r>
      <w:r w:rsidR="00543F2F">
        <w:rPr>
          <w:rFonts w:ascii="Calibri" w:hAnsi="Calibri" w:cstheme="minorHAnsi"/>
          <w:color w:val="000000"/>
          <w:sz w:val="23"/>
          <w:szCs w:val="23"/>
        </w:rPr>
        <w:t>on</w:t>
      </w:r>
      <w:r w:rsidR="00BA3DAC" w:rsidRPr="00BA3DAC">
        <w:rPr>
          <w:rFonts w:ascii="Calibri" w:hAnsi="Calibri" w:cstheme="minorHAnsi"/>
          <w:color w:val="000000"/>
          <w:sz w:val="23"/>
          <w:szCs w:val="23"/>
        </w:rPr>
        <w:t xml:space="preserve"> </w:t>
      </w:r>
      <w:r w:rsidR="00BA3DAC">
        <w:rPr>
          <w:rFonts w:ascii="Calibri" w:hAnsi="Calibri" w:cstheme="minorHAnsi"/>
          <w:color w:val="000000"/>
          <w:sz w:val="23"/>
          <w:szCs w:val="23"/>
        </w:rPr>
        <w:t xml:space="preserve">our </w:t>
      </w:r>
      <w:r w:rsidR="00BA3DAC" w:rsidRPr="00BA3DAC">
        <w:rPr>
          <w:rFonts w:ascii="Calibri" w:hAnsi="Calibri" w:cstheme="minorHAnsi"/>
          <w:color w:val="000000"/>
          <w:sz w:val="23"/>
          <w:szCs w:val="23"/>
        </w:rPr>
        <w:t>website</w:t>
      </w:r>
      <w:r w:rsidR="00543F2F">
        <w:rPr>
          <w:rFonts w:ascii="Calibri" w:hAnsi="Calibri" w:cstheme="minorHAnsi"/>
          <w:color w:val="000000"/>
          <w:sz w:val="23"/>
          <w:szCs w:val="23"/>
        </w:rPr>
        <w:t xml:space="preserve"> at www.ltcreit.com</w:t>
      </w:r>
      <w:r w:rsidR="00BA3DAC" w:rsidRPr="00BA3DAC">
        <w:rPr>
          <w:rFonts w:ascii="Calibri" w:hAnsi="Calibri" w:cstheme="minorHAnsi"/>
          <w:color w:val="000000"/>
          <w:sz w:val="23"/>
          <w:szCs w:val="23"/>
        </w:rPr>
        <w:t xml:space="preserve">. </w:t>
      </w:r>
    </w:p>
    <w:p w14:paraId="64F1E08C" w14:textId="77777777" w:rsidR="00477F8B" w:rsidRDefault="00477F8B" w:rsidP="00CA1BA5">
      <w:pPr>
        <w:pStyle w:val="Default"/>
        <w:rPr>
          <w:b/>
          <w:bCs/>
          <w:sz w:val="23"/>
          <w:szCs w:val="23"/>
        </w:rPr>
      </w:pPr>
    </w:p>
    <w:p w14:paraId="10DCCF93" w14:textId="0E3C9D6F" w:rsidR="00CA1BA5" w:rsidRDefault="00CA1BA5" w:rsidP="00CA1BA5">
      <w:pPr>
        <w:pStyle w:val="Default"/>
        <w:rPr>
          <w:sz w:val="23"/>
          <w:szCs w:val="23"/>
        </w:rPr>
      </w:pPr>
      <w:r>
        <w:rPr>
          <w:b/>
          <w:bCs/>
          <w:sz w:val="23"/>
          <w:szCs w:val="23"/>
        </w:rPr>
        <w:t xml:space="preserve">We strive to conduct our overall business in an environmentally sustainable manner by: </w:t>
      </w:r>
    </w:p>
    <w:p w14:paraId="3AC6642F" w14:textId="2945B3FD" w:rsidR="003B714E" w:rsidRPr="00920683" w:rsidRDefault="00CA1BA5" w:rsidP="003B714E">
      <w:pPr>
        <w:pStyle w:val="ListParagraph"/>
        <w:numPr>
          <w:ilvl w:val="0"/>
          <w:numId w:val="2"/>
        </w:numPr>
        <w:rPr>
          <w:rFonts w:ascii="Calibri" w:hAnsi="Calibri" w:cs="Calibri"/>
          <w:color w:val="000000"/>
          <w:sz w:val="23"/>
          <w:szCs w:val="23"/>
        </w:rPr>
      </w:pPr>
      <w:r w:rsidRPr="003B714E">
        <w:rPr>
          <w:sz w:val="23"/>
          <w:szCs w:val="23"/>
        </w:rPr>
        <w:t>Operating in a commercially re</w:t>
      </w:r>
      <w:r w:rsidR="0098012F">
        <w:rPr>
          <w:sz w:val="23"/>
          <w:szCs w:val="23"/>
        </w:rPr>
        <w:t xml:space="preserve">sponsible </w:t>
      </w:r>
      <w:r w:rsidRPr="003B714E">
        <w:rPr>
          <w:sz w:val="23"/>
          <w:szCs w:val="23"/>
        </w:rPr>
        <w:t>manner that respects the environment</w:t>
      </w:r>
      <w:r w:rsidR="003B714E">
        <w:rPr>
          <w:sz w:val="23"/>
          <w:szCs w:val="23"/>
        </w:rPr>
        <w:t>.</w:t>
      </w:r>
    </w:p>
    <w:p w14:paraId="2F205D42" w14:textId="4A114496" w:rsidR="003033E8" w:rsidRPr="0098012F" w:rsidRDefault="003B714E" w:rsidP="00090D0F">
      <w:pPr>
        <w:pStyle w:val="ListParagraph"/>
        <w:numPr>
          <w:ilvl w:val="0"/>
          <w:numId w:val="2"/>
        </w:numPr>
        <w:rPr>
          <w:sz w:val="23"/>
          <w:szCs w:val="23"/>
        </w:rPr>
      </w:pPr>
      <w:r>
        <w:rPr>
          <w:sz w:val="23"/>
          <w:szCs w:val="23"/>
        </w:rPr>
        <w:t>C</w:t>
      </w:r>
      <w:r w:rsidRPr="003B714E">
        <w:rPr>
          <w:rFonts w:ascii="Calibri" w:hAnsi="Calibri" w:cs="Calibri"/>
          <w:color w:val="000000"/>
          <w:sz w:val="23"/>
          <w:szCs w:val="23"/>
        </w:rPr>
        <w:t xml:space="preserve">omplying with all applicable </w:t>
      </w:r>
      <w:r w:rsidR="00975C66">
        <w:rPr>
          <w:rFonts w:ascii="Calibri" w:hAnsi="Calibri" w:cs="Calibri"/>
          <w:color w:val="000000"/>
          <w:sz w:val="23"/>
          <w:szCs w:val="23"/>
        </w:rPr>
        <w:t xml:space="preserve">environmental </w:t>
      </w:r>
      <w:r w:rsidRPr="003B714E">
        <w:rPr>
          <w:rFonts w:ascii="Calibri" w:hAnsi="Calibri" w:cs="Calibri"/>
          <w:color w:val="000000"/>
          <w:sz w:val="23"/>
          <w:szCs w:val="23"/>
        </w:rPr>
        <w:t>laws and regulations</w:t>
      </w:r>
      <w:r>
        <w:rPr>
          <w:rFonts w:ascii="Calibri" w:hAnsi="Calibri" w:cs="Calibri"/>
          <w:color w:val="000000"/>
          <w:sz w:val="23"/>
          <w:szCs w:val="23"/>
        </w:rPr>
        <w:t>.</w:t>
      </w:r>
      <w:r w:rsidRPr="003B714E">
        <w:rPr>
          <w:rFonts w:ascii="Calibri" w:hAnsi="Calibri" w:cs="Calibri"/>
          <w:color w:val="000000"/>
          <w:sz w:val="23"/>
          <w:szCs w:val="23"/>
        </w:rPr>
        <w:t xml:space="preserve"> </w:t>
      </w:r>
    </w:p>
    <w:p w14:paraId="5364BA2A" w14:textId="2B22D76E" w:rsidR="00C60A02" w:rsidRDefault="0036006C" w:rsidP="00090D0F">
      <w:pPr>
        <w:pStyle w:val="ListParagraph"/>
        <w:numPr>
          <w:ilvl w:val="0"/>
          <w:numId w:val="2"/>
        </w:numPr>
        <w:rPr>
          <w:sz w:val="23"/>
          <w:szCs w:val="23"/>
        </w:rPr>
      </w:pPr>
      <w:r w:rsidRPr="00920683">
        <w:rPr>
          <w:sz w:val="23"/>
          <w:szCs w:val="23"/>
        </w:rPr>
        <w:t xml:space="preserve">Surveying our operators to better understand their </w:t>
      </w:r>
      <w:r w:rsidR="003033E8">
        <w:rPr>
          <w:sz w:val="23"/>
          <w:szCs w:val="23"/>
        </w:rPr>
        <w:t xml:space="preserve">environmental </w:t>
      </w:r>
      <w:r w:rsidR="005449FE" w:rsidRPr="00920683">
        <w:rPr>
          <w:sz w:val="23"/>
          <w:szCs w:val="23"/>
        </w:rPr>
        <w:t xml:space="preserve">awareness and needs, </w:t>
      </w:r>
      <w:r w:rsidR="003033E8">
        <w:rPr>
          <w:sz w:val="23"/>
          <w:szCs w:val="23"/>
        </w:rPr>
        <w:t>and</w:t>
      </w:r>
      <w:r w:rsidR="003033E8" w:rsidRPr="00920683">
        <w:rPr>
          <w:sz w:val="23"/>
          <w:szCs w:val="23"/>
        </w:rPr>
        <w:t xml:space="preserve"> </w:t>
      </w:r>
      <w:r w:rsidR="005449FE" w:rsidRPr="00920683">
        <w:rPr>
          <w:sz w:val="23"/>
          <w:szCs w:val="23"/>
        </w:rPr>
        <w:t>identifying opportunities to support and incentivize their initiatives</w:t>
      </w:r>
      <w:r w:rsidR="00C60A02" w:rsidRPr="00920683">
        <w:rPr>
          <w:sz w:val="23"/>
          <w:szCs w:val="23"/>
        </w:rPr>
        <w:t>,</w:t>
      </w:r>
      <w:r w:rsidR="005449FE" w:rsidRPr="00920683">
        <w:rPr>
          <w:sz w:val="23"/>
          <w:szCs w:val="23"/>
        </w:rPr>
        <w:t xml:space="preserve"> including sustainable building improvements.</w:t>
      </w:r>
    </w:p>
    <w:p w14:paraId="24035BDA" w14:textId="7B31F423" w:rsidR="00C40F95" w:rsidRPr="00920683" w:rsidRDefault="00C40F95" w:rsidP="00090D0F">
      <w:pPr>
        <w:pStyle w:val="ListParagraph"/>
        <w:numPr>
          <w:ilvl w:val="0"/>
          <w:numId w:val="2"/>
        </w:numPr>
        <w:rPr>
          <w:sz w:val="23"/>
          <w:szCs w:val="23"/>
        </w:rPr>
      </w:pPr>
      <w:r>
        <w:rPr>
          <w:sz w:val="23"/>
          <w:szCs w:val="23"/>
        </w:rPr>
        <w:t xml:space="preserve">Aligning with the </w:t>
      </w:r>
      <w:r w:rsidRPr="00FF221C">
        <w:rPr>
          <w:sz w:val="23"/>
          <w:szCs w:val="23"/>
        </w:rPr>
        <w:t xml:space="preserve">Sustainability Accounting Standards Board (SASB) </w:t>
      </w:r>
      <w:r>
        <w:rPr>
          <w:sz w:val="23"/>
          <w:szCs w:val="23"/>
        </w:rPr>
        <w:t>real estate</w:t>
      </w:r>
      <w:r w:rsidRPr="00FF221C">
        <w:rPr>
          <w:sz w:val="23"/>
          <w:szCs w:val="23"/>
        </w:rPr>
        <w:t xml:space="preserve"> framework </w:t>
      </w:r>
      <w:r>
        <w:rPr>
          <w:sz w:val="23"/>
          <w:szCs w:val="23"/>
        </w:rPr>
        <w:t>to</w:t>
      </w:r>
      <w:r w:rsidRPr="00FF221C">
        <w:rPr>
          <w:sz w:val="23"/>
          <w:szCs w:val="23"/>
        </w:rPr>
        <w:t xml:space="preserve"> guid</w:t>
      </w:r>
      <w:r>
        <w:rPr>
          <w:sz w:val="23"/>
          <w:szCs w:val="23"/>
        </w:rPr>
        <w:t>e</w:t>
      </w:r>
      <w:r w:rsidRPr="00FF221C">
        <w:rPr>
          <w:sz w:val="23"/>
          <w:szCs w:val="23"/>
        </w:rPr>
        <w:t xml:space="preserve"> us </w:t>
      </w:r>
      <w:r>
        <w:rPr>
          <w:sz w:val="23"/>
          <w:szCs w:val="23"/>
        </w:rPr>
        <w:t>as we</w:t>
      </w:r>
      <w:r w:rsidRPr="00FF221C">
        <w:rPr>
          <w:sz w:val="23"/>
          <w:szCs w:val="23"/>
        </w:rPr>
        <w:t xml:space="preserve"> provide our shareholders with relevant information on our environmental impact</w:t>
      </w:r>
      <w:r w:rsidR="00B854E3">
        <w:rPr>
          <w:sz w:val="23"/>
          <w:szCs w:val="23"/>
        </w:rPr>
        <w:t>.</w:t>
      </w:r>
    </w:p>
    <w:p w14:paraId="001EBE7F" w14:textId="79CFE588" w:rsidR="002E3B89" w:rsidRPr="002E670B" w:rsidRDefault="00CA1BA5" w:rsidP="002E670B">
      <w:pPr>
        <w:pStyle w:val="ListParagraph"/>
        <w:numPr>
          <w:ilvl w:val="0"/>
          <w:numId w:val="2"/>
        </w:numPr>
        <w:rPr>
          <w:sz w:val="23"/>
          <w:szCs w:val="23"/>
        </w:rPr>
      </w:pPr>
      <w:r w:rsidRPr="002E670B">
        <w:rPr>
          <w:sz w:val="23"/>
          <w:szCs w:val="23"/>
        </w:rPr>
        <w:t xml:space="preserve">Communicating this </w:t>
      </w:r>
      <w:r w:rsidR="004056C5">
        <w:rPr>
          <w:sz w:val="23"/>
          <w:szCs w:val="23"/>
        </w:rPr>
        <w:t>policy</w:t>
      </w:r>
      <w:r w:rsidR="004056C5" w:rsidRPr="002E670B">
        <w:rPr>
          <w:sz w:val="23"/>
          <w:szCs w:val="23"/>
        </w:rPr>
        <w:t xml:space="preserve"> </w:t>
      </w:r>
      <w:r w:rsidRPr="002E670B">
        <w:rPr>
          <w:sz w:val="23"/>
          <w:szCs w:val="23"/>
        </w:rPr>
        <w:t>to shareholders, employees, operators, vendors, and the public via our website.</w:t>
      </w:r>
    </w:p>
    <w:p w14:paraId="3C71EC57" w14:textId="77777777" w:rsidR="00CA1BA5" w:rsidRDefault="00CA1BA5" w:rsidP="00920683">
      <w:pPr>
        <w:pStyle w:val="Default"/>
        <w:ind w:left="360"/>
        <w:rPr>
          <w:sz w:val="23"/>
          <w:szCs w:val="23"/>
        </w:rPr>
      </w:pPr>
    </w:p>
    <w:p w14:paraId="7984A7D5" w14:textId="4EFDF291" w:rsidR="00CA1BA5" w:rsidRDefault="00CA1BA5" w:rsidP="00CA1BA5">
      <w:pPr>
        <w:pStyle w:val="Default"/>
        <w:rPr>
          <w:sz w:val="23"/>
          <w:szCs w:val="23"/>
        </w:rPr>
      </w:pPr>
      <w:proofErr w:type="gramStart"/>
      <w:r>
        <w:rPr>
          <w:sz w:val="23"/>
          <w:szCs w:val="23"/>
        </w:rPr>
        <w:t>The majority of</w:t>
      </w:r>
      <w:proofErr w:type="gramEnd"/>
      <w:r>
        <w:rPr>
          <w:sz w:val="23"/>
          <w:szCs w:val="23"/>
        </w:rPr>
        <w:t xml:space="preserve"> our operators conduct business under a triple-net (“NNN”) structure and are generally responsible for maintaining the properties in our portfolio, including environmentally sustainable practices. Under this structure, LTC cannot control operations, however we can </w:t>
      </w:r>
      <w:r w:rsidR="00B8398B">
        <w:rPr>
          <w:sz w:val="23"/>
          <w:szCs w:val="23"/>
        </w:rPr>
        <w:t>encourage and support</w:t>
      </w:r>
      <w:r>
        <w:rPr>
          <w:sz w:val="23"/>
          <w:szCs w:val="23"/>
        </w:rPr>
        <w:t xml:space="preserve"> our operators by promoting sustainable best practices, recommending environmentally friendly products and vendors, and financing environmental initiatives at attractive rates. </w:t>
      </w:r>
    </w:p>
    <w:p w14:paraId="5D065B0E" w14:textId="77777777" w:rsidR="00CA1BA5" w:rsidRDefault="00CA1BA5" w:rsidP="00CA1BA5">
      <w:pPr>
        <w:pStyle w:val="Default"/>
        <w:rPr>
          <w:b/>
          <w:bCs/>
          <w:i/>
          <w:iCs/>
          <w:sz w:val="23"/>
          <w:szCs w:val="23"/>
        </w:rPr>
      </w:pPr>
    </w:p>
    <w:p w14:paraId="71279B99" w14:textId="45035825" w:rsidR="00CA1BA5" w:rsidRDefault="0098012F" w:rsidP="00CA1BA5">
      <w:pPr>
        <w:pStyle w:val="Default"/>
        <w:rPr>
          <w:sz w:val="23"/>
          <w:szCs w:val="23"/>
        </w:rPr>
      </w:pPr>
      <w:r>
        <w:rPr>
          <w:b/>
          <w:bCs/>
          <w:i/>
          <w:iCs/>
          <w:sz w:val="23"/>
          <w:szCs w:val="23"/>
        </w:rPr>
        <w:t>How We Support Our Operators Environmental Efforts</w:t>
      </w:r>
    </w:p>
    <w:p w14:paraId="17893B4A" w14:textId="2BD4A84C" w:rsidR="00CA1BA5" w:rsidRDefault="00CA1BA5" w:rsidP="00CA1BA5">
      <w:pPr>
        <w:pStyle w:val="Default"/>
        <w:numPr>
          <w:ilvl w:val="0"/>
          <w:numId w:val="2"/>
        </w:numPr>
        <w:rPr>
          <w:sz w:val="23"/>
          <w:szCs w:val="23"/>
        </w:rPr>
      </w:pPr>
      <w:r>
        <w:rPr>
          <w:sz w:val="23"/>
          <w:szCs w:val="23"/>
        </w:rPr>
        <w:lastRenderedPageBreak/>
        <w:t xml:space="preserve">We provide financial incentives for environmentally sound, mutually beneficial upgrade initiatives. </w:t>
      </w:r>
    </w:p>
    <w:p w14:paraId="0CE26DB7" w14:textId="31FD99F9" w:rsidR="00163C2D" w:rsidRDefault="00016419" w:rsidP="00CA1BA5">
      <w:pPr>
        <w:pStyle w:val="Default"/>
        <w:numPr>
          <w:ilvl w:val="0"/>
          <w:numId w:val="2"/>
        </w:numPr>
        <w:rPr>
          <w:sz w:val="23"/>
          <w:szCs w:val="23"/>
        </w:rPr>
      </w:pPr>
      <w:r>
        <w:rPr>
          <w:sz w:val="23"/>
          <w:szCs w:val="23"/>
        </w:rPr>
        <w:t xml:space="preserve">We evaluate and consider climate risk considerations in </w:t>
      </w:r>
      <w:r w:rsidR="00163C2D">
        <w:rPr>
          <w:sz w:val="23"/>
          <w:szCs w:val="23"/>
        </w:rPr>
        <w:t>new investments and portfolio management, including earthquake, fire, heat, storm</w:t>
      </w:r>
      <w:r w:rsidR="00910E31">
        <w:rPr>
          <w:sz w:val="23"/>
          <w:szCs w:val="23"/>
        </w:rPr>
        <w:t>,</w:t>
      </w:r>
      <w:r w:rsidR="00163C2D">
        <w:rPr>
          <w:sz w:val="23"/>
          <w:szCs w:val="23"/>
        </w:rPr>
        <w:t xml:space="preserve"> and flood. </w:t>
      </w:r>
    </w:p>
    <w:p w14:paraId="06B43F5B" w14:textId="094DE8A3" w:rsidR="00CA1BA5" w:rsidRDefault="00CA1BA5" w:rsidP="00CA1BA5">
      <w:pPr>
        <w:pStyle w:val="Default"/>
        <w:numPr>
          <w:ilvl w:val="0"/>
          <w:numId w:val="2"/>
        </w:numPr>
        <w:rPr>
          <w:sz w:val="23"/>
          <w:szCs w:val="23"/>
        </w:rPr>
      </w:pPr>
      <w:r>
        <w:rPr>
          <w:sz w:val="23"/>
          <w:szCs w:val="23"/>
        </w:rPr>
        <w:t xml:space="preserve">We obtain Phase I (and Phase II, if applicable) environmental reports, geotechnical / soils reports, zoning reports and wetlands delineation as part of our diligence procedures when acquiring properties and we attempt to avoid buying real estate with known high-risk catastrophic environmental events and / or environmental contamination. </w:t>
      </w:r>
    </w:p>
    <w:p w14:paraId="4BEF45BF" w14:textId="3100E53F" w:rsidR="00CA1BA5" w:rsidRDefault="00CA1BA5" w:rsidP="00CA1BA5">
      <w:pPr>
        <w:pStyle w:val="Default"/>
        <w:numPr>
          <w:ilvl w:val="0"/>
          <w:numId w:val="2"/>
        </w:numPr>
        <w:rPr>
          <w:sz w:val="23"/>
          <w:szCs w:val="23"/>
        </w:rPr>
      </w:pPr>
      <w:r>
        <w:rPr>
          <w:sz w:val="23"/>
          <w:szCs w:val="23"/>
        </w:rPr>
        <w:t>We</w:t>
      </w:r>
      <w:r w:rsidR="0098012F">
        <w:rPr>
          <w:sz w:val="23"/>
          <w:szCs w:val="23"/>
        </w:rPr>
        <w:t xml:space="preserve"> collect data from participating</w:t>
      </w:r>
      <w:r>
        <w:rPr>
          <w:sz w:val="23"/>
          <w:szCs w:val="23"/>
        </w:rPr>
        <w:t xml:space="preserve"> operating partners annually to monitor and report energy and water consumption and recycling initiatives, among other self-reported environmentally sustainable initiatives. </w:t>
      </w:r>
    </w:p>
    <w:p w14:paraId="3553995D" w14:textId="5A943CF2" w:rsidR="00CA1BA5" w:rsidRDefault="00CA1BA5" w:rsidP="00CA1BA5">
      <w:pPr>
        <w:pStyle w:val="Default"/>
        <w:numPr>
          <w:ilvl w:val="0"/>
          <w:numId w:val="2"/>
        </w:numPr>
        <w:rPr>
          <w:sz w:val="23"/>
          <w:szCs w:val="23"/>
        </w:rPr>
      </w:pPr>
      <w:r>
        <w:rPr>
          <w:sz w:val="23"/>
          <w:szCs w:val="23"/>
        </w:rPr>
        <w:t xml:space="preserve">We </w:t>
      </w:r>
      <w:r w:rsidR="00DB2853">
        <w:rPr>
          <w:sz w:val="23"/>
          <w:szCs w:val="23"/>
        </w:rPr>
        <w:t>incorporate</w:t>
      </w:r>
      <w:r>
        <w:rPr>
          <w:sz w:val="23"/>
          <w:szCs w:val="23"/>
        </w:rPr>
        <w:t xml:space="preserve"> Green Lease language into new and amended leases. </w:t>
      </w:r>
    </w:p>
    <w:p w14:paraId="1FCE65AC" w14:textId="217E6763" w:rsidR="00B8398B" w:rsidRDefault="00B8398B" w:rsidP="00B8398B">
      <w:pPr>
        <w:pStyle w:val="Default"/>
        <w:rPr>
          <w:sz w:val="23"/>
          <w:szCs w:val="23"/>
        </w:rPr>
      </w:pPr>
    </w:p>
    <w:p w14:paraId="4D721FD8" w14:textId="5CC0B921" w:rsidR="002E670B" w:rsidRDefault="002E3B89" w:rsidP="00920683">
      <w:pPr>
        <w:pStyle w:val="Default"/>
        <w:rPr>
          <w:sz w:val="23"/>
          <w:szCs w:val="23"/>
        </w:rPr>
      </w:pPr>
      <w:r>
        <w:rPr>
          <w:sz w:val="23"/>
          <w:szCs w:val="23"/>
        </w:rPr>
        <w:t xml:space="preserve">Throughout our LTC organization, we </w:t>
      </w:r>
      <w:r w:rsidR="00C834FD">
        <w:rPr>
          <w:sz w:val="23"/>
          <w:szCs w:val="23"/>
        </w:rPr>
        <w:t>embrace</w:t>
      </w:r>
      <w:r>
        <w:rPr>
          <w:sz w:val="23"/>
          <w:szCs w:val="23"/>
        </w:rPr>
        <w:t xml:space="preserve"> </w:t>
      </w:r>
      <w:r w:rsidR="00910E31">
        <w:rPr>
          <w:sz w:val="23"/>
          <w:szCs w:val="23"/>
        </w:rPr>
        <w:t>this</w:t>
      </w:r>
      <w:r w:rsidR="00C834FD">
        <w:rPr>
          <w:sz w:val="23"/>
          <w:szCs w:val="23"/>
        </w:rPr>
        <w:t xml:space="preserve"> </w:t>
      </w:r>
      <w:r>
        <w:rPr>
          <w:sz w:val="23"/>
          <w:szCs w:val="23"/>
        </w:rPr>
        <w:t xml:space="preserve">commitment </w:t>
      </w:r>
      <w:r w:rsidR="00C834FD">
        <w:rPr>
          <w:sz w:val="23"/>
          <w:szCs w:val="23"/>
        </w:rPr>
        <w:t>to</w:t>
      </w:r>
      <w:r w:rsidR="00C834FD" w:rsidRPr="00C834FD">
        <w:rPr>
          <w:sz w:val="23"/>
          <w:szCs w:val="23"/>
        </w:rPr>
        <w:t xml:space="preserve"> environmental</w:t>
      </w:r>
      <w:r w:rsidR="002A5E66">
        <w:rPr>
          <w:sz w:val="23"/>
          <w:szCs w:val="23"/>
        </w:rPr>
        <w:t xml:space="preserve"> </w:t>
      </w:r>
      <w:r w:rsidR="00C834FD" w:rsidRPr="00C834FD">
        <w:rPr>
          <w:sz w:val="23"/>
          <w:szCs w:val="23"/>
        </w:rPr>
        <w:t>and sustainable practices</w:t>
      </w:r>
      <w:r w:rsidR="00C834FD">
        <w:rPr>
          <w:sz w:val="23"/>
          <w:szCs w:val="23"/>
        </w:rPr>
        <w:t xml:space="preserve">, </w:t>
      </w:r>
      <w:r w:rsidR="005A2C1A">
        <w:rPr>
          <w:sz w:val="23"/>
          <w:szCs w:val="23"/>
        </w:rPr>
        <w:t>including</w:t>
      </w:r>
      <w:r w:rsidR="002A5E66">
        <w:rPr>
          <w:sz w:val="23"/>
          <w:szCs w:val="23"/>
        </w:rPr>
        <w:t xml:space="preserve"> in our</w:t>
      </w:r>
      <w:r w:rsidR="00C834FD">
        <w:rPr>
          <w:sz w:val="23"/>
          <w:szCs w:val="23"/>
        </w:rPr>
        <w:t xml:space="preserve"> </w:t>
      </w:r>
      <w:r w:rsidR="005A2C1A">
        <w:rPr>
          <w:sz w:val="23"/>
          <w:szCs w:val="23"/>
        </w:rPr>
        <w:t>corporate-level initiatives</w:t>
      </w:r>
      <w:r w:rsidR="002E670B">
        <w:rPr>
          <w:sz w:val="23"/>
          <w:szCs w:val="23"/>
        </w:rPr>
        <w:t xml:space="preserve">.  </w:t>
      </w:r>
    </w:p>
    <w:p w14:paraId="110CA785" w14:textId="6CAD1FFE" w:rsidR="002E670B" w:rsidRDefault="002E670B" w:rsidP="00144953">
      <w:pPr>
        <w:pStyle w:val="Default"/>
        <w:pageBreakBefore/>
        <w:rPr>
          <w:sz w:val="23"/>
          <w:szCs w:val="23"/>
        </w:rPr>
      </w:pPr>
      <w:r>
        <w:rPr>
          <w:b/>
          <w:bCs/>
          <w:i/>
          <w:iCs/>
          <w:sz w:val="23"/>
          <w:szCs w:val="23"/>
        </w:rPr>
        <w:lastRenderedPageBreak/>
        <w:t xml:space="preserve">Highlights of corporate-level initiatives: </w:t>
      </w:r>
    </w:p>
    <w:p w14:paraId="2D835616" w14:textId="1AE4189A" w:rsidR="002E670B" w:rsidRDefault="002E670B" w:rsidP="002E670B">
      <w:pPr>
        <w:pStyle w:val="Default"/>
        <w:numPr>
          <w:ilvl w:val="0"/>
          <w:numId w:val="2"/>
        </w:numPr>
        <w:rPr>
          <w:sz w:val="23"/>
          <w:szCs w:val="23"/>
        </w:rPr>
      </w:pPr>
      <w:r>
        <w:rPr>
          <w:sz w:val="23"/>
          <w:szCs w:val="23"/>
        </w:rPr>
        <w:t>Our corporate headquarters’ energy efficiency features include automatic lights, internal temperature controls, automatic HVAC controls on evenings and weekends, power saver mode on printer and copy machines, automatic faucets</w:t>
      </w:r>
      <w:r w:rsidR="00365B63">
        <w:rPr>
          <w:sz w:val="23"/>
          <w:szCs w:val="23"/>
        </w:rPr>
        <w:t>,</w:t>
      </w:r>
      <w:r>
        <w:rPr>
          <w:sz w:val="23"/>
          <w:szCs w:val="23"/>
        </w:rPr>
        <w:t xml:space="preserve"> and toilets. </w:t>
      </w:r>
    </w:p>
    <w:p w14:paraId="56381CF3" w14:textId="34207AA8" w:rsidR="00AE643A" w:rsidRPr="00575B63" w:rsidRDefault="002E670B" w:rsidP="00575B63">
      <w:pPr>
        <w:pStyle w:val="Default"/>
        <w:numPr>
          <w:ilvl w:val="0"/>
          <w:numId w:val="2"/>
        </w:numPr>
        <w:rPr>
          <w:sz w:val="23"/>
          <w:szCs w:val="23"/>
        </w:rPr>
      </w:pPr>
      <w:r>
        <w:rPr>
          <w:sz w:val="23"/>
          <w:szCs w:val="23"/>
        </w:rPr>
        <w:t xml:space="preserve">Our corporate headquarters provides employees with tri-temp purified water from reverse osmosis water systems. These water systems are plumbed into the wall, eliminating the need for plastic or glass tank refill bottles while also reducing the use of single-serve plastic bottled waters. </w:t>
      </w:r>
      <w:r w:rsidR="00575B63">
        <w:rPr>
          <w:sz w:val="23"/>
          <w:szCs w:val="23"/>
        </w:rPr>
        <w:t>We provide our team water bottles from recycled glass.</w:t>
      </w:r>
    </w:p>
    <w:p w14:paraId="2E2E01B4" w14:textId="77777777" w:rsidR="002E670B" w:rsidRDefault="002E670B" w:rsidP="002E670B">
      <w:pPr>
        <w:pStyle w:val="Default"/>
        <w:numPr>
          <w:ilvl w:val="0"/>
          <w:numId w:val="2"/>
        </w:numPr>
        <w:rPr>
          <w:sz w:val="23"/>
          <w:szCs w:val="23"/>
        </w:rPr>
      </w:pPr>
      <w:r>
        <w:rPr>
          <w:sz w:val="23"/>
          <w:szCs w:val="23"/>
        </w:rPr>
        <w:t xml:space="preserve">Our document retention practice strives to reduce paper usage and encourages electronic file sharing. </w:t>
      </w:r>
    </w:p>
    <w:p w14:paraId="36042CB5" w14:textId="77777777" w:rsidR="002E670B" w:rsidRDefault="002E670B" w:rsidP="002E670B">
      <w:pPr>
        <w:pStyle w:val="Default"/>
        <w:numPr>
          <w:ilvl w:val="0"/>
          <w:numId w:val="2"/>
        </w:numPr>
        <w:rPr>
          <w:sz w:val="23"/>
          <w:szCs w:val="23"/>
        </w:rPr>
      </w:pPr>
      <w:r>
        <w:rPr>
          <w:sz w:val="23"/>
          <w:szCs w:val="23"/>
        </w:rPr>
        <w:t xml:space="preserve">We participate in a recycling program that encourages our employees to reduce, reuse and recycle waste. </w:t>
      </w:r>
    </w:p>
    <w:p w14:paraId="5933FF2F" w14:textId="77777777" w:rsidR="002E670B" w:rsidRDefault="002E670B" w:rsidP="002E670B">
      <w:pPr>
        <w:pStyle w:val="Default"/>
        <w:numPr>
          <w:ilvl w:val="0"/>
          <w:numId w:val="2"/>
        </w:numPr>
        <w:rPr>
          <w:sz w:val="23"/>
          <w:szCs w:val="23"/>
        </w:rPr>
      </w:pPr>
      <w:r>
        <w:rPr>
          <w:sz w:val="23"/>
          <w:szCs w:val="23"/>
        </w:rPr>
        <w:t xml:space="preserve">We participate in the California Clean Power Alliance Program – an opt-in program that acquires and delivers green energy supply (solar, wind, water) sourced locally and regionally. </w:t>
      </w:r>
    </w:p>
    <w:p w14:paraId="61D58BBA" w14:textId="2F5CA844" w:rsidR="00DE21ED" w:rsidRDefault="00DE21ED" w:rsidP="00DE21ED">
      <w:pPr>
        <w:pStyle w:val="Default"/>
        <w:numPr>
          <w:ilvl w:val="0"/>
          <w:numId w:val="2"/>
        </w:numPr>
        <w:rPr>
          <w:sz w:val="23"/>
          <w:szCs w:val="23"/>
        </w:rPr>
      </w:pPr>
      <w:r>
        <w:rPr>
          <w:sz w:val="23"/>
          <w:szCs w:val="23"/>
        </w:rPr>
        <w:t>We purchase carbon offsets for</w:t>
      </w:r>
      <w:r w:rsidR="00BD1A47">
        <w:rPr>
          <w:sz w:val="23"/>
          <w:szCs w:val="23"/>
        </w:rPr>
        <w:t xml:space="preserve"> employee</w:t>
      </w:r>
      <w:r>
        <w:rPr>
          <w:sz w:val="23"/>
          <w:szCs w:val="23"/>
        </w:rPr>
        <w:t xml:space="preserve"> travel and </w:t>
      </w:r>
      <w:r w:rsidR="00BD1A47">
        <w:rPr>
          <w:sz w:val="23"/>
          <w:szCs w:val="23"/>
        </w:rPr>
        <w:t xml:space="preserve">our corporate </w:t>
      </w:r>
      <w:r>
        <w:rPr>
          <w:sz w:val="23"/>
          <w:szCs w:val="23"/>
        </w:rPr>
        <w:t>office space</w:t>
      </w:r>
      <w:r w:rsidR="002F74F4">
        <w:rPr>
          <w:sz w:val="23"/>
          <w:szCs w:val="23"/>
        </w:rPr>
        <w:t xml:space="preserve"> on a quarterly basis.</w:t>
      </w:r>
    </w:p>
    <w:p w14:paraId="10B00C07" w14:textId="7FC01523" w:rsidR="00AE643A" w:rsidRDefault="00AE643A" w:rsidP="00DE21ED">
      <w:pPr>
        <w:pStyle w:val="Default"/>
        <w:numPr>
          <w:ilvl w:val="0"/>
          <w:numId w:val="2"/>
        </w:numPr>
        <w:rPr>
          <w:sz w:val="23"/>
          <w:szCs w:val="23"/>
        </w:rPr>
      </w:pPr>
      <w:r>
        <w:rPr>
          <w:sz w:val="23"/>
          <w:szCs w:val="23"/>
        </w:rPr>
        <w:t>Hand sanitizer is available throughout our office space.</w:t>
      </w:r>
    </w:p>
    <w:p w14:paraId="06F7EF35" w14:textId="7F00FB41" w:rsidR="00AE643A" w:rsidRPr="00575B63" w:rsidRDefault="00575B63" w:rsidP="00575B63">
      <w:pPr>
        <w:pStyle w:val="Default"/>
        <w:numPr>
          <w:ilvl w:val="0"/>
          <w:numId w:val="2"/>
        </w:numPr>
        <w:rPr>
          <w:sz w:val="23"/>
          <w:szCs w:val="23"/>
        </w:rPr>
      </w:pPr>
      <w:r>
        <w:rPr>
          <w:sz w:val="23"/>
          <w:szCs w:val="23"/>
        </w:rPr>
        <w:t>Rather than sending checks, we send wire transfers</w:t>
      </w:r>
      <w:r w:rsidR="00E92CAB">
        <w:rPr>
          <w:sz w:val="23"/>
          <w:szCs w:val="23"/>
        </w:rPr>
        <w:t xml:space="preserve"> r</w:t>
      </w:r>
      <w:r>
        <w:rPr>
          <w:sz w:val="23"/>
          <w:szCs w:val="23"/>
        </w:rPr>
        <w:t>educing</w:t>
      </w:r>
      <w:r w:rsidR="000E0855">
        <w:rPr>
          <w:sz w:val="23"/>
          <w:szCs w:val="23"/>
        </w:rPr>
        <w:t xml:space="preserve"> the impact of</w:t>
      </w:r>
      <w:r>
        <w:rPr>
          <w:sz w:val="23"/>
          <w:szCs w:val="23"/>
        </w:rPr>
        <w:t xml:space="preserve"> check writing and mailing</w:t>
      </w:r>
      <w:r w:rsidR="000E0855">
        <w:rPr>
          <w:sz w:val="23"/>
          <w:szCs w:val="23"/>
        </w:rPr>
        <w:t xml:space="preserve"> (carbon emissions)</w:t>
      </w:r>
      <w:r>
        <w:rPr>
          <w:sz w:val="23"/>
          <w:szCs w:val="23"/>
        </w:rPr>
        <w:t xml:space="preserve"> </w:t>
      </w:r>
      <w:r w:rsidR="00E92CAB">
        <w:rPr>
          <w:sz w:val="23"/>
          <w:szCs w:val="23"/>
        </w:rPr>
        <w:t xml:space="preserve">by </w:t>
      </w:r>
      <w:r w:rsidR="001A530A">
        <w:rPr>
          <w:sz w:val="23"/>
          <w:szCs w:val="23"/>
        </w:rPr>
        <w:t>more than 90%.</w:t>
      </w:r>
    </w:p>
    <w:p w14:paraId="3F56039E" w14:textId="77777777" w:rsidR="00DE21ED" w:rsidRDefault="00DE21ED" w:rsidP="00DE21ED">
      <w:pPr>
        <w:pStyle w:val="Default"/>
        <w:ind w:left="720"/>
        <w:rPr>
          <w:sz w:val="23"/>
          <w:szCs w:val="23"/>
        </w:rPr>
      </w:pPr>
    </w:p>
    <w:p w14:paraId="138E8B3A" w14:textId="77777777" w:rsidR="002E670B" w:rsidRDefault="002E670B" w:rsidP="002E670B">
      <w:pPr>
        <w:pStyle w:val="Default"/>
        <w:rPr>
          <w:sz w:val="23"/>
          <w:szCs w:val="23"/>
        </w:rPr>
      </w:pPr>
    </w:p>
    <w:p w14:paraId="5E7FE185" w14:textId="23C869B7" w:rsidR="002E670B" w:rsidRDefault="002E670B" w:rsidP="002E670B">
      <w:pPr>
        <w:pStyle w:val="Default"/>
        <w:rPr>
          <w:sz w:val="23"/>
          <w:szCs w:val="23"/>
        </w:rPr>
      </w:pPr>
      <w:r>
        <w:rPr>
          <w:sz w:val="23"/>
          <w:szCs w:val="23"/>
        </w:rPr>
        <w:t>All LTC employees</w:t>
      </w:r>
      <w:r w:rsidR="00B77941">
        <w:rPr>
          <w:sz w:val="23"/>
          <w:szCs w:val="23"/>
        </w:rPr>
        <w:t xml:space="preserve"> will receive a copy of this policy and</w:t>
      </w:r>
      <w:r>
        <w:rPr>
          <w:sz w:val="23"/>
          <w:szCs w:val="23"/>
        </w:rPr>
        <w:t xml:space="preserve"> are responsible for adhering to this </w:t>
      </w:r>
      <w:r w:rsidR="004056C5">
        <w:rPr>
          <w:sz w:val="23"/>
          <w:szCs w:val="23"/>
        </w:rPr>
        <w:t xml:space="preserve">policy </w:t>
      </w:r>
      <w:r>
        <w:rPr>
          <w:sz w:val="23"/>
          <w:szCs w:val="23"/>
        </w:rPr>
        <w:t xml:space="preserve">as well as supporting our operators in their </w:t>
      </w:r>
      <w:r w:rsidR="00365B63">
        <w:rPr>
          <w:sz w:val="23"/>
          <w:szCs w:val="23"/>
        </w:rPr>
        <w:t xml:space="preserve">environmental </w:t>
      </w:r>
      <w:r>
        <w:rPr>
          <w:sz w:val="23"/>
          <w:szCs w:val="23"/>
        </w:rPr>
        <w:t xml:space="preserve">efforts. </w:t>
      </w:r>
    </w:p>
    <w:p w14:paraId="6AFBA705" w14:textId="0C538A07" w:rsidR="002E670B" w:rsidRDefault="002E670B" w:rsidP="002E670B">
      <w:pPr>
        <w:pStyle w:val="Default"/>
        <w:rPr>
          <w:sz w:val="23"/>
          <w:szCs w:val="23"/>
        </w:rPr>
      </w:pPr>
    </w:p>
    <w:p w14:paraId="7BE2DE0B" w14:textId="13FFB237" w:rsidR="004056C5" w:rsidRDefault="004056C5" w:rsidP="002E670B">
      <w:pPr>
        <w:pStyle w:val="Default"/>
        <w:rPr>
          <w:sz w:val="23"/>
          <w:szCs w:val="23"/>
        </w:rPr>
      </w:pPr>
    </w:p>
    <w:p w14:paraId="5364B53B" w14:textId="77777777" w:rsidR="004056C5" w:rsidRDefault="004056C5" w:rsidP="002E670B">
      <w:pPr>
        <w:pStyle w:val="Default"/>
        <w:rPr>
          <w:sz w:val="23"/>
          <w:szCs w:val="23"/>
        </w:rPr>
      </w:pPr>
    </w:p>
    <w:p w14:paraId="534366BF" w14:textId="0B7B903B" w:rsidR="002E670B" w:rsidRDefault="002E670B" w:rsidP="002E670B">
      <w:r>
        <w:rPr>
          <w:sz w:val="23"/>
          <w:szCs w:val="23"/>
        </w:rPr>
        <w:t xml:space="preserve">Please direct questions </w:t>
      </w:r>
      <w:r w:rsidR="00B30597">
        <w:rPr>
          <w:sz w:val="23"/>
          <w:szCs w:val="23"/>
        </w:rPr>
        <w:t xml:space="preserve">and input </w:t>
      </w:r>
      <w:r>
        <w:rPr>
          <w:sz w:val="23"/>
          <w:szCs w:val="23"/>
        </w:rPr>
        <w:t xml:space="preserve">about this </w:t>
      </w:r>
      <w:r w:rsidR="004056C5">
        <w:rPr>
          <w:sz w:val="23"/>
          <w:szCs w:val="23"/>
        </w:rPr>
        <w:t xml:space="preserve">policy </w:t>
      </w:r>
      <w:r>
        <w:rPr>
          <w:sz w:val="23"/>
          <w:szCs w:val="23"/>
        </w:rPr>
        <w:t xml:space="preserve">to Mandi Hogan </w:t>
      </w:r>
      <w:r>
        <w:rPr>
          <w:color w:val="0562C1"/>
          <w:sz w:val="23"/>
          <w:szCs w:val="23"/>
        </w:rPr>
        <w:t>mandi.hogan@ltcreit.com</w:t>
      </w:r>
      <w:r>
        <w:rPr>
          <w:sz w:val="23"/>
          <w:szCs w:val="23"/>
        </w:rPr>
        <w:t>.</w:t>
      </w:r>
    </w:p>
    <w:p w14:paraId="13EABABD" w14:textId="77777777" w:rsidR="00575A19" w:rsidRDefault="00575A19" w:rsidP="00575A19">
      <w:pPr>
        <w:pStyle w:val="NoSpacing"/>
        <w:rPr>
          <w:rFonts w:ascii="Calibri" w:hAnsi="Calibri" w:cstheme="minorHAnsi"/>
          <w:sz w:val="24"/>
          <w:szCs w:val="24"/>
        </w:rPr>
      </w:pPr>
    </w:p>
    <w:p w14:paraId="2F0A95D1" w14:textId="77777777" w:rsidR="00575A19" w:rsidRDefault="00575A19" w:rsidP="00575A19">
      <w:pPr>
        <w:pStyle w:val="NoSpacing"/>
        <w:rPr>
          <w:rFonts w:ascii="Calibri" w:hAnsi="Calibri" w:cstheme="minorHAnsi"/>
          <w:sz w:val="24"/>
          <w:szCs w:val="24"/>
        </w:rPr>
      </w:pPr>
    </w:p>
    <w:p w14:paraId="44222C65" w14:textId="77777777" w:rsidR="00575A19" w:rsidRDefault="00575A19" w:rsidP="00575A19">
      <w:pPr>
        <w:pStyle w:val="NoSpacing"/>
        <w:rPr>
          <w:rFonts w:ascii="Calibri" w:hAnsi="Calibri" w:cstheme="minorHAnsi"/>
          <w:sz w:val="24"/>
          <w:szCs w:val="24"/>
        </w:rPr>
      </w:pPr>
    </w:p>
    <w:p w14:paraId="6E0E04BE" w14:textId="77777777" w:rsidR="00575A19" w:rsidRDefault="00575A19" w:rsidP="00575A19">
      <w:pPr>
        <w:rPr>
          <w:rFonts w:ascii="Calibri" w:hAnsi="Calibri" w:cstheme="minorHAnsi"/>
          <w:i/>
          <w:iCs/>
          <w:sz w:val="24"/>
          <w:szCs w:val="24"/>
        </w:rPr>
      </w:pPr>
      <w:r>
        <w:rPr>
          <w:rFonts w:ascii="Calibri" w:hAnsi="Calibri" w:cstheme="minorHAnsi"/>
          <w:i/>
          <w:iCs/>
          <w:sz w:val="24"/>
          <w:szCs w:val="24"/>
        </w:rPr>
        <w:t xml:space="preserve">Adopted </w:t>
      </w:r>
      <w:r>
        <w:rPr>
          <w:rFonts w:ascii="Calibri" w:hAnsi="Calibri" w:cstheme="minorHAnsi"/>
          <w:i/>
          <w:iCs/>
          <w:sz w:val="24"/>
          <w:szCs w:val="24"/>
        </w:rPr>
        <w:tab/>
      </w:r>
      <w:r>
        <w:rPr>
          <w:rFonts w:ascii="Calibri" w:hAnsi="Calibri" w:cstheme="minorHAnsi"/>
          <w:i/>
          <w:iCs/>
          <w:sz w:val="24"/>
          <w:szCs w:val="24"/>
        </w:rPr>
        <w:tab/>
        <w:t>, 2022</w:t>
      </w:r>
    </w:p>
    <w:p w14:paraId="2AD8D600" w14:textId="77777777" w:rsidR="00575A19" w:rsidRPr="000D2642" w:rsidRDefault="00575A19" w:rsidP="00575A19">
      <w:pPr>
        <w:pStyle w:val="NoSpacing"/>
        <w:rPr>
          <w:rFonts w:ascii="Calibri" w:hAnsi="Calibri" w:cstheme="minorHAnsi"/>
          <w:sz w:val="24"/>
          <w:szCs w:val="24"/>
        </w:rPr>
      </w:pPr>
    </w:p>
    <w:p w14:paraId="62D765E9" w14:textId="77777777" w:rsidR="002E670B" w:rsidRDefault="002E670B" w:rsidP="00920683">
      <w:pPr>
        <w:pStyle w:val="Default"/>
        <w:rPr>
          <w:sz w:val="23"/>
          <w:szCs w:val="23"/>
        </w:rPr>
      </w:pPr>
    </w:p>
    <w:sectPr w:rsidR="002E67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765E7"/>
    <w:multiLevelType w:val="hybridMultilevel"/>
    <w:tmpl w:val="7EDC4BC0"/>
    <w:lvl w:ilvl="0" w:tplc="F120064A">
      <w:numFmt w:val="bullet"/>
      <w:lvlText w:val="•"/>
      <w:lvlJc w:val="left"/>
      <w:pPr>
        <w:ind w:left="720" w:hanging="360"/>
      </w:pPr>
      <w:rPr>
        <w:rFonts w:ascii="Calibri" w:eastAsiaTheme="minorHAnsi" w:hAnsi="Calibri" w:cs="Calibri"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554256"/>
    <w:multiLevelType w:val="hybridMultilevel"/>
    <w:tmpl w:val="33469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605BE2"/>
    <w:multiLevelType w:val="hybridMultilevel"/>
    <w:tmpl w:val="5D7A75EE"/>
    <w:lvl w:ilvl="0" w:tplc="F120064A">
      <w:numFmt w:val="bullet"/>
      <w:lvlText w:val="•"/>
      <w:lvlJc w:val="left"/>
      <w:pPr>
        <w:ind w:left="720" w:hanging="360"/>
      </w:pPr>
      <w:rPr>
        <w:rFonts w:ascii="Calibri" w:eastAsiaTheme="minorHAns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5855F4"/>
    <w:multiLevelType w:val="hybridMultilevel"/>
    <w:tmpl w:val="50C89BF0"/>
    <w:lvl w:ilvl="0" w:tplc="F120064A">
      <w:numFmt w:val="bullet"/>
      <w:lvlText w:val="•"/>
      <w:lvlJc w:val="left"/>
      <w:pPr>
        <w:ind w:left="720" w:hanging="360"/>
      </w:pPr>
      <w:rPr>
        <w:rFonts w:ascii="Calibri" w:eastAsiaTheme="minorHAns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45547B"/>
    <w:multiLevelType w:val="hybridMultilevel"/>
    <w:tmpl w:val="EBD2A060"/>
    <w:lvl w:ilvl="0" w:tplc="FFFFFFFF">
      <w:numFmt w:val="bullet"/>
      <w:lvlText w:val="•"/>
      <w:lvlJc w:val="left"/>
      <w:pPr>
        <w:ind w:left="720" w:hanging="360"/>
      </w:pPr>
      <w:rPr>
        <w:rFonts w:ascii="Calibri" w:eastAsiaTheme="minorHAnsi" w:hAnsi="Calibri" w:cs="Calibri" w:hint="default"/>
        <w:sz w:val="20"/>
      </w:rPr>
    </w:lvl>
    <w:lvl w:ilvl="1" w:tplc="3AE4BCAA">
      <w:numFmt w:val="bullet"/>
      <w:lvlText w:val="•"/>
      <w:lvlJc w:val="left"/>
      <w:pPr>
        <w:ind w:left="1440" w:hanging="360"/>
      </w:pPr>
      <w:rPr>
        <w:rFonts w:ascii="Calibri" w:eastAsiaTheme="minorHAnsi" w:hAnsi="Calibri" w:cs="Calibri" w:hint="default"/>
        <w:sz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71968893">
    <w:abstractNumId w:val="1"/>
  </w:num>
  <w:num w:numId="2" w16cid:durableId="882323857">
    <w:abstractNumId w:val="0"/>
  </w:num>
  <w:num w:numId="3" w16cid:durableId="1050375405">
    <w:abstractNumId w:val="2"/>
  </w:num>
  <w:num w:numId="4" w16cid:durableId="306976907">
    <w:abstractNumId w:val="3"/>
  </w:num>
  <w:num w:numId="5" w16cid:durableId="205903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A5"/>
    <w:rsid w:val="00016419"/>
    <w:rsid w:val="00047AA9"/>
    <w:rsid w:val="00090D0F"/>
    <w:rsid w:val="000B0504"/>
    <w:rsid w:val="000E0855"/>
    <w:rsid w:val="00120760"/>
    <w:rsid w:val="00144953"/>
    <w:rsid w:val="00163C2D"/>
    <w:rsid w:val="00195354"/>
    <w:rsid w:val="001A530A"/>
    <w:rsid w:val="001E4A9F"/>
    <w:rsid w:val="00222B67"/>
    <w:rsid w:val="00257A6E"/>
    <w:rsid w:val="002759D7"/>
    <w:rsid w:val="002A5E66"/>
    <w:rsid w:val="002E3B89"/>
    <w:rsid w:val="002E670B"/>
    <w:rsid w:val="002F74F4"/>
    <w:rsid w:val="003033E8"/>
    <w:rsid w:val="00324D16"/>
    <w:rsid w:val="00345297"/>
    <w:rsid w:val="0036006C"/>
    <w:rsid w:val="00365B63"/>
    <w:rsid w:val="003B714E"/>
    <w:rsid w:val="004056C5"/>
    <w:rsid w:val="00477F8B"/>
    <w:rsid w:val="004B431D"/>
    <w:rsid w:val="0051343F"/>
    <w:rsid w:val="00543F2F"/>
    <w:rsid w:val="005449FE"/>
    <w:rsid w:val="00575A19"/>
    <w:rsid w:val="00575B63"/>
    <w:rsid w:val="005A2C1A"/>
    <w:rsid w:val="005F6CE3"/>
    <w:rsid w:val="006A2E0B"/>
    <w:rsid w:val="006C0AA2"/>
    <w:rsid w:val="00700C1E"/>
    <w:rsid w:val="007663AE"/>
    <w:rsid w:val="007E13FD"/>
    <w:rsid w:val="008270F9"/>
    <w:rsid w:val="00834BCF"/>
    <w:rsid w:val="00863E2D"/>
    <w:rsid w:val="00910E31"/>
    <w:rsid w:val="00920683"/>
    <w:rsid w:val="0094176D"/>
    <w:rsid w:val="00975C66"/>
    <w:rsid w:val="0098012F"/>
    <w:rsid w:val="009C7542"/>
    <w:rsid w:val="00A0485C"/>
    <w:rsid w:val="00AE643A"/>
    <w:rsid w:val="00AF6EA7"/>
    <w:rsid w:val="00B30597"/>
    <w:rsid w:val="00B33EEC"/>
    <w:rsid w:val="00B53B7B"/>
    <w:rsid w:val="00B7466F"/>
    <w:rsid w:val="00B77941"/>
    <w:rsid w:val="00B8398B"/>
    <w:rsid w:val="00B854E3"/>
    <w:rsid w:val="00BA3DAC"/>
    <w:rsid w:val="00BD1A47"/>
    <w:rsid w:val="00BE332E"/>
    <w:rsid w:val="00C10834"/>
    <w:rsid w:val="00C158E6"/>
    <w:rsid w:val="00C32B89"/>
    <w:rsid w:val="00C352A5"/>
    <w:rsid w:val="00C40F95"/>
    <w:rsid w:val="00C431F3"/>
    <w:rsid w:val="00C511F1"/>
    <w:rsid w:val="00C51396"/>
    <w:rsid w:val="00C60A02"/>
    <w:rsid w:val="00C834FD"/>
    <w:rsid w:val="00C90EE3"/>
    <w:rsid w:val="00CA136F"/>
    <w:rsid w:val="00CA1BA5"/>
    <w:rsid w:val="00CF4927"/>
    <w:rsid w:val="00D46D8C"/>
    <w:rsid w:val="00D74129"/>
    <w:rsid w:val="00D91AF8"/>
    <w:rsid w:val="00DA4BC7"/>
    <w:rsid w:val="00DA6934"/>
    <w:rsid w:val="00DB2853"/>
    <w:rsid w:val="00DE21ED"/>
    <w:rsid w:val="00DE3178"/>
    <w:rsid w:val="00E72D86"/>
    <w:rsid w:val="00E92CAB"/>
    <w:rsid w:val="00F56EFC"/>
    <w:rsid w:val="00FE5E43"/>
    <w:rsid w:val="00FF2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A6506"/>
  <w15:chartTrackingRefBased/>
  <w15:docId w15:val="{DB16EE08-AD0C-4CBD-B4A5-289B49A78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1BA5"/>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FF221C"/>
    <w:pPr>
      <w:spacing w:after="0" w:line="240" w:lineRule="auto"/>
    </w:pPr>
  </w:style>
  <w:style w:type="paragraph" w:styleId="ListParagraph">
    <w:name w:val="List Paragraph"/>
    <w:basedOn w:val="Normal"/>
    <w:uiPriority w:val="34"/>
    <w:qFormat/>
    <w:rsid w:val="003B714E"/>
    <w:pPr>
      <w:ind w:left="720"/>
      <w:contextualSpacing/>
    </w:pPr>
  </w:style>
  <w:style w:type="character" w:styleId="CommentReference">
    <w:name w:val="annotation reference"/>
    <w:basedOn w:val="DefaultParagraphFont"/>
    <w:uiPriority w:val="99"/>
    <w:semiHidden/>
    <w:unhideWhenUsed/>
    <w:rsid w:val="003033E8"/>
    <w:rPr>
      <w:sz w:val="16"/>
      <w:szCs w:val="16"/>
    </w:rPr>
  </w:style>
  <w:style w:type="paragraph" w:styleId="CommentText">
    <w:name w:val="annotation text"/>
    <w:basedOn w:val="Normal"/>
    <w:link w:val="CommentTextChar"/>
    <w:uiPriority w:val="99"/>
    <w:unhideWhenUsed/>
    <w:rsid w:val="003033E8"/>
    <w:pPr>
      <w:spacing w:line="240" w:lineRule="auto"/>
    </w:pPr>
    <w:rPr>
      <w:sz w:val="20"/>
      <w:szCs w:val="20"/>
    </w:rPr>
  </w:style>
  <w:style w:type="character" w:customStyle="1" w:styleId="CommentTextChar">
    <w:name w:val="Comment Text Char"/>
    <w:basedOn w:val="DefaultParagraphFont"/>
    <w:link w:val="CommentText"/>
    <w:uiPriority w:val="99"/>
    <w:rsid w:val="003033E8"/>
    <w:rPr>
      <w:sz w:val="20"/>
      <w:szCs w:val="20"/>
    </w:rPr>
  </w:style>
  <w:style w:type="paragraph" w:styleId="CommentSubject">
    <w:name w:val="annotation subject"/>
    <w:basedOn w:val="CommentText"/>
    <w:next w:val="CommentText"/>
    <w:link w:val="CommentSubjectChar"/>
    <w:uiPriority w:val="99"/>
    <w:semiHidden/>
    <w:unhideWhenUsed/>
    <w:rsid w:val="003033E8"/>
    <w:rPr>
      <w:b/>
      <w:bCs/>
    </w:rPr>
  </w:style>
  <w:style w:type="character" w:customStyle="1" w:styleId="CommentSubjectChar">
    <w:name w:val="Comment Subject Char"/>
    <w:basedOn w:val="CommentTextChar"/>
    <w:link w:val="CommentSubject"/>
    <w:uiPriority w:val="99"/>
    <w:semiHidden/>
    <w:rsid w:val="003033E8"/>
    <w:rPr>
      <w:b/>
      <w:bCs/>
      <w:sz w:val="20"/>
      <w:szCs w:val="20"/>
    </w:rPr>
  </w:style>
  <w:style w:type="paragraph" w:styleId="NoSpacing">
    <w:name w:val="No Spacing"/>
    <w:uiPriority w:val="1"/>
    <w:qFormat/>
    <w:rsid w:val="00575A19"/>
    <w:pPr>
      <w:spacing w:after="0" w:line="240" w:lineRule="auto"/>
    </w:pPr>
  </w:style>
  <w:style w:type="paragraph" w:styleId="NormalWeb">
    <w:name w:val="Normal (Web)"/>
    <w:basedOn w:val="Normal"/>
    <w:uiPriority w:val="99"/>
    <w:semiHidden/>
    <w:unhideWhenUsed/>
    <w:rsid w:val="00BA3D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98344">
      <w:bodyDiv w:val="1"/>
      <w:marLeft w:val="0"/>
      <w:marRight w:val="0"/>
      <w:marTop w:val="0"/>
      <w:marBottom w:val="0"/>
      <w:divBdr>
        <w:top w:val="none" w:sz="0" w:space="0" w:color="auto"/>
        <w:left w:val="none" w:sz="0" w:space="0" w:color="auto"/>
        <w:bottom w:val="none" w:sz="0" w:space="0" w:color="auto"/>
        <w:right w:val="none" w:sz="0" w:space="0" w:color="auto"/>
      </w:divBdr>
      <w:divsChild>
        <w:div w:id="1975016284">
          <w:marLeft w:val="0"/>
          <w:marRight w:val="0"/>
          <w:marTop w:val="0"/>
          <w:marBottom w:val="0"/>
          <w:divBdr>
            <w:top w:val="none" w:sz="0" w:space="0" w:color="auto"/>
            <w:left w:val="none" w:sz="0" w:space="0" w:color="auto"/>
            <w:bottom w:val="none" w:sz="0" w:space="0" w:color="auto"/>
            <w:right w:val="none" w:sz="0" w:space="0" w:color="auto"/>
          </w:divBdr>
          <w:divsChild>
            <w:div w:id="558632333">
              <w:marLeft w:val="0"/>
              <w:marRight w:val="0"/>
              <w:marTop w:val="0"/>
              <w:marBottom w:val="0"/>
              <w:divBdr>
                <w:top w:val="none" w:sz="0" w:space="0" w:color="auto"/>
                <w:left w:val="none" w:sz="0" w:space="0" w:color="auto"/>
                <w:bottom w:val="none" w:sz="0" w:space="0" w:color="auto"/>
                <w:right w:val="none" w:sz="0" w:space="0" w:color="auto"/>
              </w:divBdr>
              <w:divsChild>
                <w:div w:id="17456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984596">
      <w:bodyDiv w:val="1"/>
      <w:marLeft w:val="0"/>
      <w:marRight w:val="0"/>
      <w:marTop w:val="0"/>
      <w:marBottom w:val="0"/>
      <w:divBdr>
        <w:top w:val="none" w:sz="0" w:space="0" w:color="auto"/>
        <w:left w:val="none" w:sz="0" w:space="0" w:color="auto"/>
        <w:bottom w:val="none" w:sz="0" w:space="0" w:color="auto"/>
        <w:right w:val="none" w:sz="0" w:space="0" w:color="auto"/>
      </w:divBdr>
      <w:divsChild>
        <w:div w:id="2024165168">
          <w:marLeft w:val="0"/>
          <w:marRight w:val="0"/>
          <w:marTop w:val="0"/>
          <w:marBottom w:val="0"/>
          <w:divBdr>
            <w:top w:val="none" w:sz="0" w:space="0" w:color="auto"/>
            <w:left w:val="none" w:sz="0" w:space="0" w:color="auto"/>
            <w:bottom w:val="none" w:sz="0" w:space="0" w:color="auto"/>
            <w:right w:val="none" w:sz="0" w:space="0" w:color="auto"/>
          </w:divBdr>
          <w:divsChild>
            <w:div w:id="1670406654">
              <w:marLeft w:val="0"/>
              <w:marRight w:val="0"/>
              <w:marTop w:val="0"/>
              <w:marBottom w:val="0"/>
              <w:divBdr>
                <w:top w:val="none" w:sz="0" w:space="0" w:color="auto"/>
                <w:left w:val="none" w:sz="0" w:space="0" w:color="auto"/>
                <w:bottom w:val="none" w:sz="0" w:space="0" w:color="auto"/>
                <w:right w:val="none" w:sz="0" w:space="0" w:color="auto"/>
              </w:divBdr>
              <w:divsChild>
                <w:div w:id="154556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218946">
      <w:bodyDiv w:val="1"/>
      <w:marLeft w:val="0"/>
      <w:marRight w:val="0"/>
      <w:marTop w:val="0"/>
      <w:marBottom w:val="0"/>
      <w:divBdr>
        <w:top w:val="none" w:sz="0" w:space="0" w:color="auto"/>
        <w:left w:val="none" w:sz="0" w:space="0" w:color="auto"/>
        <w:bottom w:val="none" w:sz="0" w:space="0" w:color="auto"/>
        <w:right w:val="none" w:sz="0" w:space="0" w:color="auto"/>
      </w:divBdr>
      <w:divsChild>
        <w:div w:id="744424096">
          <w:marLeft w:val="0"/>
          <w:marRight w:val="0"/>
          <w:marTop w:val="0"/>
          <w:marBottom w:val="0"/>
          <w:divBdr>
            <w:top w:val="none" w:sz="0" w:space="0" w:color="auto"/>
            <w:left w:val="none" w:sz="0" w:space="0" w:color="auto"/>
            <w:bottom w:val="none" w:sz="0" w:space="0" w:color="auto"/>
            <w:right w:val="none" w:sz="0" w:space="0" w:color="auto"/>
          </w:divBdr>
          <w:divsChild>
            <w:div w:id="448473225">
              <w:marLeft w:val="0"/>
              <w:marRight w:val="0"/>
              <w:marTop w:val="0"/>
              <w:marBottom w:val="0"/>
              <w:divBdr>
                <w:top w:val="none" w:sz="0" w:space="0" w:color="auto"/>
                <w:left w:val="none" w:sz="0" w:space="0" w:color="auto"/>
                <w:bottom w:val="none" w:sz="0" w:space="0" w:color="auto"/>
                <w:right w:val="none" w:sz="0" w:space="0" w:color="auto"/>
              </w:divBdr>
              <w:divsChild>
                <w:div w:id="183687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E0E26-341B-4741-9A92-CF95BB260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Mandi Hogan</dc:creator>
  <cp:keywords/>
  <dc:description/>
  <cp:lastModifiedBy>Mandi Hogan</cp:lastModifiedBy>
  <cp:revision>5</cp:revision>
  <dcterms:created xsi:type="dcterms:W3CDTF">2022-08-25T15:31:00Z</dcterms:created>
  <dcterms:modified xsi:type="dcterms:W3CDTF">2022-08-31T12:46:00Z</dcterms:modified>
</cp:coreProperties>
</file>